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FB5" w:rsidRDefault="00502C37">
      <w:pPr>
        <w:pStyle w:val="Nzev"/>
        <w:spacing w:after="0"/>
        <w:jc w:val="both"/>
        <w:rPr>
          <w:rFonts w:ascii="Calibri" w:eastAsia="Calibri" w:hAnsi="Calibri" w:cs="Calibri"/>
          <w:sz w:val="22"/>
          <w:szCs w:val="22"/>
        </w:rPr>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-4444</wp:posOffset>
            </wp:positionH>
            <wp:positionV relativeFrom="paragraph">
              <wp:posOffset>-4444</wp:posOffset>
            </wp:positionV>
            <wp:extent cx="5760720" cy="705485"/>
            <wp:effectExtent l="0" t="0" r="0" b="0"/>
            <wp:wrapSquare wrapText="bothSides" distT="0" distB="0" distL="114300" distR="114300"/>
            <wp:docPr id="1" name="image1.jpg" descr="K:\OBCHODNÍ ODDĚLENÍ\Loga\1 Švandovo divadlo - grafika\Loga - jpg\logotyp - Švandovo divadlo na Smíchově.jpg"/>
            <wp:cNvGraphicFramePr/>
            <a:graphic xmlns:a="http://schemas.openxmlformats.org/drawingml/2006/main">
              <a:graphicData uri="http://schemas.openxmlformats.org/drawingml/2006/picture">
                <pic:pic xmlns:pic="http://schemas.openxmlformats.org/drawingml/2006/picture">
                  <pic:nvPicPr>
                    <pic:cNvPr id="0" name="image1.jpg" descr="K:\OBCHODNÍ ODDĚLENÍ\Loga\1 Švandovo divadlo - grafika\Loga - jpg\logotyp - Švandovo divadlo na Smíchově.jpg"/>
                    <pic:cNvPicPr preferRelativeResize="0"/>
                  </pic:nvPicPr>
                  <pic:blipFill>
                    <a:blip r:embed="rId8"/>
                    <a:srcRect/>
                    <a:stretch>
                      <a:fillRect/>
                    </a:stretch>
                  </pic:blipFill>
                  <pic:spPr>
                    <a:xfrm>
                      <a:off x="0" y="0"/>
                      <a:ext cx="5760720" cy="705485"/>
                    </a:xfrm>
                    <a:prstGeom prst="rect">
                      <a:avLst/>
                    </a:prstGeom>
                    <a:ln/>
                  </pic:spPr>
                </pic:pic>
              </a:graphicData>
            </a:graphic>
          </wp:anchor>
        </w:drawing>
      </w:r>
    </w:p>
    <w:p w:rsidR="00DD4FB5" w:rsidRDefault="00502C37">
      <w:pPr>
        <w:pStyle w:val="Nzev"/>
        <w:spacing w:after="0"/>
        <w:jc w:val="center"/>
        <w:rPr>
          <w:rFonts w:ascii="Calibri" w:eastAsia="Calibri" w:hAnsi="Calibri" w:cs="Calibri"/>
          <w:b/>
          <w:sz w:val="44"/>
          <w:szCs w:val="44"/>
        </w:rPr>
      </w:pPr>
      <w:r>
        <w:rPr>
          <w:rFonts w:ascii="Calibri" w:eastAsia="Calibri" w:hAnsi="Calibri" w:cs="Calibri"/>
          <w:b/>
          <w:sz w:val="44"/>
          <w:szCs w:val="44"/>
        </w:rPr>
        <w:t xml:space="preserve">PRACOVNÍ LIST </w:t>
      </w:r>
    </w:p>
    <w:p w:rsidR="00DD4FB5" w:rsidRDefault="00502C37">
      <w:pPr>
        <w:pStyle w:val="Nzev"/>
        <w:spacing w:after="0"/>
        <w:jc w:val="center"/>
        <w:rPr>
          <w:rFonts w:ascii="Calibri" w:eastAsia="Calibri" w:hAnsi="Calibri" w:cs="Calibri"/>
          <w:b/>
          <w:sz w:val="36"/>
          <w:szCs w:val="36"/>
        </w:rPr>
      </w:pPr>
      <w:r>
        <w:rPr>
          <w:rFonts w:ascii="Calibri" w:eastAsia="Calibri" w:hAnsi="Calibri" w:cs="Calibri"/>
          <w:b/>
          <w:sz w:val="36"/>
          <w:szCs w:val="36"/>
        </w:rPr>
        <w:t>K DIVADELNÍMU PŘEDSTAVENÍ</w:t>
      </w:r>
    </w:p>
    <w:p w:rsidR="00DD4FB5" w:rsidRDefault="00DD4FB5">
      <w:pPr>
        <w:pStyle w:val="Nzev"/>
        <w:spacing w:after="0"/>
        <w:jc w:val="both"/>
        <w:rPr>
          <w:rFonts w:ascii="Calibri" w:eastAsia="Calibri" w:hAnsi="Calibri" w:cs="Calibri"/>
          <w:sz w:val="22"/>
          <w:szCs w:val="22"/>
        </w:rPr>
      </w:pPr>
    </w:p>
    <w:p w:rsidR="00DD4FB5" w:rsidRDefault="00502C37">
      <w:pPr>
        <w:pStyle w:val="Nzev"/>
        <w:jc w:val="center"/>
        <w:rPr>
          <w:rFonts w:ascii="Calibri" w:eastAsia="Calibri" w:hAnsi="Calibri" w:cs="Calibri"/>
          <w:sz w:val="36"/>
          <w:szCs w:val="36"/>
        </w:rPr>
      </w:pPr>
      <w:r>
        <w:rPr>
          <w:rFonts w:ascii="Calibri" w:eastAsia="Calibri" w:hAnsi="Calibri" w:cs="Calibri"/>
          <w:sz w:val="36"/>
          <w:szCs w:val="36"/>
        </w:rPr>
        <w:t>Happy End</w:t>
      </w:r>
    </w:p>
    <w:p w:rsidR="00DD4FB5" w:rsidRDefault="00502C37">
      <w:pPr>
        <w:pBdr>
          <w:top w:val="nil"/>
          <w:left w:val="nil"/>
          <w:bottom w:val="nil"/>
          <w:right w:val="nil"/>
          <w:between w:val="nil"/>
        </w:pBdr>
        <w:spacing w:line="240" w:lineRule="auto"/>
        <w:jc w:val="center"/>
        <w:rPr>
          <w:b/>
          <w:color w:val="000000"/>
        </w:rPr>
      </w:pPr>
      <w:r>
        <w:rPr>
          <w:b/>
          <w:color w:val="000000"/>
        </w:rPr>
        <w:t>AUTOR</w:t>
      </w:r>
      <w:r>
        <w:rPr>
          <w:b/>
        </w:rPr>
        <w:t>SKÁ INSCENACE</w:t>
      </w:r>
    </w:p>
    <w:p w:rsidR="00DD4FB5" w:rsidRDefault="00502C37">
      <w:pPr>
        <w:spacing w:after="0" w:line="240" w:lineRule="auto"/>
        <w:rPr>
          <w:b/>
          <w:i/>
          <w:sz w:val="24"/>
          <w:szCs w:val="24"/>
        </w:rPr>
      </w:pPr>
      <w:r>
        <w:rPr>
          <w:b/>
          <w:i/>
          <w:sz w:val="24"/>
          <w:szCs w:val="24"/>
        </w:rPr>
        <w:t>„Happy End je pro každého, kdo se umí zasmát sám sobě“</w:t>
      </w:r>
    </w:p>
    <w:p w:rsidR="00DD4FB5" w:rsidRDefault="00502C37">
      <w:pPr>
        <w:spacing w:after="0" w:line="240" w:lineRule="auto"/>
        <w:rPr>
          <w:i/>
          <w:sz w:val="24"/>
          <w:szCs w:val="24"/>
        </w:rPr>
      </w:pPr>
      <w:r>
        <w:rPr>
          <w:i/>
          <w:sz w:val="24"/>
          <w:szCs w:val="24"/>
        </w:rPr>
        <w:t>Rozhovor s režisérem inscenace a ředitelem Švandova divadla Danielem Hrbkem</w:t>
      </w:r>
    </w:p>
    <w:p w:rsidR="00DD4FB5" w:rsidRDefault="00DD4FB5">
      <w:pPr>
        <w:spacing w:after="0" w:line="240" w:lineRule="auto"/>
        <w:rPr>
          <w:sz w:val="24"/>
          <w:szCs w:val="24"/>
        </w:rPr>
      </w:pPr>
    </w:p>
    <w:p w:rsidR="00DD4FB5" w:rsidRDefault="00502C37">
      <w:pPr>
        <w:spacing w:after="0" w:line="240" w:lineRule="auto"/>
        <w:rPr>
          <w:b/>
          <w:i/>
          <w:sz w:val="24"/>
          <w:szCs w:val="24"/>
        </w:rPr>
      </w:pPr>
      <w:r>
        <w:rPr>
          <w:b/>
          <w:i/>
          <w:sz w:val="24"/>
          <w:szCs w:val="24"/>
        </w:rPr>
        <w:t xml:space="preserve">Inscenace Happy End vznikala kolektivně – autorskou metodou. Jaké bylo původní zadání? </w:t>
      </w:r>
    </w:p>
    <w:p w:rsidR="00DD4FB5" w:rsidRDefault="00502C37">
      <w:pPr>
        <w:spacing w:after="0" w:line="240" w:lineRule="auto"/>
        <w:rPr>
          <w:sz w:val="24"/>
          <w:szCs w:val="24"/>
        </w:rPr>
      </w:pPr>
      <w:r>
        <w:rPr>
          <w:sz w:val="24"/>
          <w:szCs w:val="24"/>
        </w:rPr>
        <w:t xml:space="preserve">Na počátku práce na </w:t>
      </w:r>
      <w:r>
        <w:rPr>
          <w:i/>
          <w:sz w:val="24"/>
          <w:szCs w:val="24"/>
        </w:rPr>
        <w:t>Happy Endu</w:t>
      </w:r>
      <w:r>
        <w:rPr>
          <w:sz w:val="24"/>
          <w:szCs w:val="24"/>
        </w:rPr>
        <w:t xml:space="preserve"> bylo pozorování dlouhodobého partnerského soužití, toho, co prakticky znamená, a jak vypadá. Chtěli jsme, aby inscenace byla poetickou gr</w:t>
      </w:r>
      <w:r>
        <w:rPr>
          <w:sz w:val="24"/>
          <w:szCs w:val="24"/>
        </w:rPr>
        <w:t>oteskou o možná posledním společném dni manželské dvojice, která spolu žije již šedesát let. </w:t>
      </w:r>
    </w:p>
    <w:p w:rsidR="00DD4FB5" w:rsidRDefault="00DD4FB5">
      <w:pPr>
        <w:spacing w:after="0" w:line="240" w:lineRule="auto"/>
        <w:rPr>
          <w:b/>
          <w:i/>
          <w:sz w:val="24"/>
          <w:szCs w:val="24"/>
        </w:rPr>
      </w:pPr>
    </w:p>
    <w:p w:rsidR="00DD4FB5" w:rsidRDefault="00502C37">
      <w:pPr>
        <w:spacing w:after="0" w:line="240" w:lineRule="auto"/>
        <w:rPr>
          <w:sz w:val="24"/>
          <w:szCs w:val="24"/>
        </w:rPr>
      </w:pPr>
      <w:r>
        <w:rPr>
          <w:b/>
          <w:i/>
          <w:sz w:val="24"/>
          <w:szCs w:val="24"/>
        </w:rPr>
        <w:t>Co vás přivedlo na nápad věnovat se právě dlouholetému partnerskému soužití?</w:t>
      </w:r>
    </w:p>
    <w:p w:rsidR="00DD4FB5" w:rsidRDefault="00502C37">
      <w:pPr>
        <w:spacing w:after="0" w:line="240" w:lineRule="auto"/>
        <w:rPr>
          <w:sz w:val="24"/>
          <w:szCs w:val="24"/>
        </w:rPr>
      </w:pPr>
      <w:r>
        <w:rPr>
          <w:sz w:val="24"/>
          <w:szCs w:val="24"/>
        </w:rPr>
        <w:t>Vždycky jsem obdivoval a dosud obdivuji vztah svých rodičů. Všímal jsem si, že to, c</w:t>
      </w:r>
      <w:r>
        <w:rPr>
          <w:sz w:val="24"/>
          <w:szCs w:val="24"/>
        </w:rPr>
        <w:t>o spolu prožívají, není běžné. Ta každodennost, ve které spolu umějí být, mlčet, souhlasit, přít se, pečovat o sebe a milovat se navzájem. Láska se u nich neprojevuje velkými řečmi ale drobnými jakoby neviditelnými činy.  </w:t>
      </w:r>
    </w:p>
    <w:p w:rsidR="00DD4FB5" w:rsidRDefault="00502C37">
      <w:pPr>
        <w:spacing w:after="0" w:line="240" w:lineRule="auto"/>
        <w:rPr>
          <w:sz w:val="24"/>
          <w:szCs w:val="24"/>
        </w:rPr>
      </w:pPr>
      <w:r>
        <w:rPr>
          <w:sz w:val="24"/>
          <w:szCs w:val="24"/>
        </w:rPr>
        <w:t>Inspirací pro hru s tímto tématem</w:t>
      </w:r>
      <w:r>
        <w:rPr>
          <w:sz w:val="24"/>
          <w:szCs w:val="24"/>
        </w:rPr>
        <w:t xml:space="preserve"> byla každodennost, stereotyp, specifická komunikace, překážky věku, perspektiva a smrt a paradoxně i humor z toho všeho pramenící. </w:t>
      </w:r>
    </w:p>
    <w:p w:rsidR="00DD4FB5" w:rsidRDefault="00502C37">
      <w:pPr>
        <w:spacing w:after="0" w:line="240" w:lineRule="auto"/>
        <w:rPr>
          <w:sz w:val="24"/>
          <w:szCs w:val="24"/>
        </w:rPr>
      </w:pPr>
      <w:r>
        <w:rPr>
          <w:sz w:val="24"/>
          <w:szCs w:val="24"/>
        </w:rPr>
        <w:br/>
      </w:r>
      <w:r>
        <w:rPr>
          <w:b/>
          <w:i/>
          <w:sz w:val="24"/>
          <w:szCs w:val="24"/>
        </w:rPr>
        <w:t>Inscenace je o starším páru, je tedy určená divákovi s určitou životní zkušeností?</w:t>
      </w:r>
    </w:p>
    <w:p w:rsidR="00DD4FB5" w:rsidRDefault="00502C37">
      <w:pPr>
        <w:spacing w:after="0" w:line="240" w:lineRule="auto"/>
        <w:rPr>
          <w:sz w:val="24"/>
          <w:szCs w:val="24"/>
        </w:rPr>
      </w:pPr>
      <w:r>
        <w:rPr>
          <w:sz w:val="24"/>
          <w:szCs w:val="24"/>
        </w:rPr>
        <w:t>Já vnímám, že to téma je univerzální, a</w:t>
      </w:r>
      <w:r>
        <w:rPr>
          <w:sz w:val="24"/>
          <w:szCs w:val="24"/>
        </w:rPr>
        <w:t xml:space="preserve"> cílová skupina v tomto případě určitě není dána věkem postav. Doufám, že je to inscenace pro všechny, kteří žijí nebo touží žít s někým druhým. Zvolený žánr nám umožňuje o tématu mluvit s nadhledem, takže si myslím, že to je i pro každého, kdo se umí zasm</w:t>
      </w:r>
      <w:r>
        <w:rPr>
          <w:sz w:val="24"/>
          <w:szCs w:val="24"/>
        </w:rPr>
        <w:t>át sám sobě.</w:t>
      </w:r>
    </w:p>
    <w:p w:rsidR="00DD4FB5" w:rsidRDefault="00DD4FB5">
      <w:pPr>
        <w:spacing w:after="0" w:line="240" w:lineRule="auto"/>
        <w:rPr>
          <w:sz w:val="24"/>
          <w:szCs w:val="24"/>
        </w:rPr>
      </w:pPr>
    </w:p>
    <w:p w:rsidR="00DD4FB5" w:rsidRDefault="00502C37">
      <w:pPr>
        <w:spacing w:after="0" w:line="240" w:lineRule="auto"/>
        <w:rPr>
          <w:sz w:val="24"/>
          <w:szCs w:val="24"/>
        </w:rPr>
      </w:pPr>
      <w:r>
        <w:rPr>
          <w:b/>
          <w:i/>
          <w:sz w:val="24"/>
          <w:szCs w:val="24"/>
        </w:rPr>
        <w:t>Happy End je autorskou inscenací bez opory v pevném textu. Jak jste se na takové zkoušení připravoval? </w:t>
      </w:r>
    </w:p>
    <w:p w:rsidR="00DD4FB5" w:rsidRDefault="00502C37">
      <w:pPr>
        <w:spacing w:after="0" w:line="240" w:lineRule="auto"/>
        <w:rPr>
          <w:sz w:val="24"/>
          <w:szCs w:val="24"/>
        </w:rPr>
      </w:pPr>
      <w:r>
        <w:rPr>
          <w:sz w:val="24"/>
          <w:szCs w:val="24"/>
        </w:rPr>
        <w:t>Na něco takového se připravit do detailu nelze. My jsme se spolu s dramaturgem Davidem Košťákem nejdříve scházeli nad možnými tematicky do</w:t>
      </w:r>
      <w:r>
        <w:rPr>
          <w:sz w:val="24"/>
          <w:szCs w:val="24"/>
        </w:rPr>
        <w:t>středivými situacemi budoucí inscenace, povídali si o svých zkušenostech, našich předobrazech postav. A v určité chvíli jsme napsali něco, čemu jsme říkali „pomocný scénář“. Ten jsme následně s herci přečetli a na jeho základě začali pomocí čisté improviza</w:t>
      </w:r>
      <w:r>
        <w:rPr>
          <w:sz w:val="24"/>
          <w:szCs w:val="24"/>
        </w:rPr>
        <w:t>ce tvořit inscenaci. Navíc jsem obsadil Bohdanu Pavlíkovou a Luboše Veselého – herce, kteří spolu žijí i v civilním životě. Právě jejich společná životní zkušenost byla tou jedinečnou a originální inspirací, která se do inscenace otiskla. </w:t>
      </w:r>
    </w:p>
    <w:p w:rsidR="00DD4FB5" w:rsidRDefault="00DD4FB5">
      <w:pPr>
        <w:spacing w:after="0" w:line="240" w:lineRule="auto"/>
        <w:rPr>
          <w:sz w:val="24"/>
          <w:szCs w:val="24"/>
        </w:rPr>
      </w:pPr>
    </w:p>
    <w:p w:rsidR="00DD4FB5" w:rsidRDefault="00DD4FB5">
      <w:pPr>
        <w:spacing w:after="0" w:line="240" w:lineRule="auto"/>
        <w:rPr>
          <w:sz w:val="24"/>
          <w:szCs w:val="24"/>
        </w:rPr>
      </w:pPr>
    </w:p>
    <w:p w:rsidR="00DD4FB5" w:rsidRDefault="00502C37">
      <w:pPr>
        <w:spacing w:after="0"/>
        <w:jc w:val="both"/>
        <w:rPr>
          <w:b/>
          <w:sz w:val="24"/>
          <w:szCs w:val="24"/>
        </w:rPr>
      </w:pPr>
      <w:r>
        <w:br w:type="page"/>
      </w:r>
    </w:p>
    <w:p w:rsidR="00DD4FB5" w:rsidRDefault="00502C37">
      <w:pPr>
        <w:spacing w:after="0"/>
        <w:jc w:val="both"/>
        <w:rPr>
          <w:b/>
          <w:sz w:val="24"/>
          <w:szCs w:val="24"/>
        </w:rPr>
      </w:pPr>
      <w:r>
        <w:rPr>
          <w:b/>
          <w:sz w:val="24"/>
          <w:szCs w:val="24"/>
        </w:rPr>
        <w:lastRenderedPageBreak/>
        <w:t>„Recept na společný život není - je to improvizace“</w:t>
      </w:r>
    </w:p>
    <w:p w:rsidR="00DD4FB5" w:rsidRDefault="00502C37">
      <w:pPr>
        <w:spacing w:after="0"/>
        <w:jc w:val="both"/>
        <w:rPr>
          <w:i/>
          <w:sz w:val="24"/>
          <w:szCs w:val="24"/>
        </w:rPr>
      </w:pPr>
      <w:r>
        <w:rPr>
          <w:i/>
          <w:sz w:val="24"/>
          <w:szCs w:val="24"/>
        </w:rPr>
        <w:t>Rozhovor s Bohdanou Pavlíkovou a Lubošem Veselým</w:t>
      </w:r>
    </w:p>
    <w:p w:rsidR="00DD4FB5" w:rsidRDefault="00DD4FB5">
      <w:pPr>
        <w:spacing w:after="0"/>
        <w:jc w:val="both"/>
        <w:rPr>
          <w:b/>
          <w:sz w:val="24"/>
          <w:szCs w:val="24"/>
        </w:rPr>
      </w:pPr>
    </w:p>
    <w:p w:rsidR="00DD4FB5" w:rsidRDefault="00502C37">
      <w:pPr>
        <w:spacing w:after="0"/>
        <w:jc w:val="both"/>
        <w:rPr>
          <w:b/>
          <w:i/>
          <w:sz w:val="24"/>
          <w:szCs w:val="24"/>
        </w:rPr>
      </w:pPr>
      <w:r>
        <w:rPr>
          <w:b/>
          <w:i/>
          <w:sz w:val="24"/>
          <w:szCs w:val="24"/>
        </w:rPr>
        <w:t>Na vzniku Happy Endu jste se podíleli i autorsky – co z vás se do něj otisklo?</w:t>
      </w:r>
    </w:p>
    <w:p w:rsidR="00DD4FB5" w:rsidRDefault="00DD4FB5">
      <w:pPr>
        <w:spacing w:after="0"/>
        <w:jc w:val="both"/>
        <w:rPr>
          <w:b/>
          <w:i/>
          <w:sz w:val="24"/>
          <w:szCs w:val="24"/>
        </w:rPr>
      </w:pPr>
    </w:p>
    <w:p w:rsidR="00DD4FB5" w:rsidRDefault="00502C37">
      <w:pPr>
        <w:spacing w:after="0"/>
        <w:jc w:val="both"/>
        <w:rPr>
          <w:sz w:val="24"/>
          <w:szCs w:val="24"/>
        </w:rPr>
      </w:pPr>
      <w:r>
        <w:rPr>
          <w:b/>
          <w:sz w:val="24"/>
          <w:szCs w:val="24"/>
        </w:rPr>
        <w:t xml:space="preserve">Luboš: </w:t>
      </w:r>
      <w:r>
        <w:rPr>
          <w:sz w:val="24"/>
          <w:szCs w:val="24"/>
        </w:rPr>
        <w:t xml:space="preserve">Do každé inscenace se z člověka něco otiskne. V tomto případě jsme </w:t>
      </w:r>
      <w:r>
        <w:rPr>
          <w:sz w:val="24"/>
          <w:szCs w:val="24"/>
        </w:rPr>
        <w:t xml:space="preserve">věděli, že se s tím vyloženě počítá. Proto jsem se toho zprvu trochu obával. Nechtělo se mi jít úplně do intimností. Když člověk zkouší již napsaný text, tak do toho samozřejmě promítá svoje zkušenosti, zaujímá ke své postavě určitý postoj, a tady jsem se </w:t>
      </w:r>
      <w:r>
        <w:rPr>
          <w:sz w:val="24"/>
          <w:szCs w:val="24"/>
        </w:rPr>
        <w:t xml:space="preserve">bál, že to bude intimní příliš. V tradiční hře se za to, co je dané autorem, mohu poschovávat, a divák buď pozná, nebo nepozná, jak daleko se mně to dotýká. Při zkoušení se ale ukázalo, že je můj strach zbytečný – že se nejedná o dokument, ale o modelovou </w:t>
      </w:r>
      <w:r>
        <w:rPr>
          <w:sz w:val="24"/>
          <w:szCs w:val="24"/>
        </w:rPr>
        <w:t>situaci.</w:t>
      </w:r>
    </w:p>
    <w:p w:rsidR="00DD4FB5" w:rsidRDefault="00502C37">
      <w:pPr>
        <w:spacing w:after="0"/>
        <w:jc w:val="both"/>
        <w:rPr>
          <w:sz w:val="24"/>
          <w:szCs w:val="24"/>
        </w:rPr>
      </w:pPr>
      <w:r>
        <w:rPr>
          <w:b/>
          <w:sz w:val="24"/>
          <w:szCs w:val="24"/>
        </w:rPr>
        <w:t xml:space="preserve">Bohdana: </w:t>
      </w:r>
      <w:r>
        <w:rPr>
          <w:sz w:val="24"/>
          <w:szCs w:val="24"/>
        </w:rPr>
        <w:t>Já to mám přesně obráceně. Já se nikdy nesnažím s postavou ztotožňovat – já si od ní dělám odstup. Takže jsem si představovala tu paní, co mám ztvárnit, a byla jsem přesvědčená, že musí být jiná než já, i když má moji tvář. U mě je to asi</w:t>
      </w:r>
      <w:r>
        <w:rPr>
          <w:sz w:val="24"/>
          <w:szCs w:val="24"/>
        </w:rPr>
        <w:t xml:space="preserve"> těžší v tom, že hraji mnohem vzdálenější věk, než ve kterém jsem. Je to spíš tvarování představy, než ztotožnění se.</w:t>
      </w:r>
    </w:p>
    <w:p w:rsidR="00DD4FB5" w:rsidRDefault="00DD4FB5">
      <w:pPr>
        <w:spacing w:after="0"/>
        <w:jc w:val="both"/>
        <w:rPr>
          <w:i/>
          <w:sz w:val="24"/>
          <w:szCs w:val="24"/>
        </w:rPr>
      </w:pPr>
    </w:p>
    <w:p w:rsidR="00DD4FB5" w:rsidRDefault="00502C37">
      <w:pPr>
        <w:spacing w:after="0"/>
        <w:jc w:val="both"/>
        <w:rPr>
          <w:b/>
          <w:i/>
          <w:sz w:val="24"/>
          <w:szCs w:val="24"/>
        </w:rPr>
      </w:pPr>
      <w:r>
        <w:rPr>
          <w:b/>
          <w:i/>
          <w:sz w:val="24"/>
          <w:szCs w:val="24"/>
        </w:rPr>
        <w:t>Pomáhá partnerství v osobním životě v partnerství na jevišti?</w:t>
      </w:r>
    </w:p>
    <w:p w:rsidR="00DD4FB5" w:rsidRDefault="00DD4FB5">
      <w:pPr>
        <w:spacing w:after="0"/>
        <w:jc w:val="both"/>
        <w:rPr>
          <w:i/>
          <w:sz w:val="24"/>
          <w:szCs w:val="24"/>
        </w:rPr>
      </w:pPr>
    </w:p>
    <w:p w:rsidR="00DD4FB5" w:rsidRDefault="00502C37">
      <w:pPr>
        <w:spacing w:after="0"/>
        <w:jc w:val="both"/>
        <w:rPr>
          <w:sz w:val="24"/>
          <w:szCs w:val="24"/>
        </w:rPr>
      </w:pPr>
      <w:r>
        <w:rPr>
          <w:b/>
          <w:sz w:val="24"/>
          <w:szCs w:val="24"/>
        </w:rPr>
        <w:t xml:space="preserve">Luboš: </w:t>
      </w:r>
      <w:r>
        <w:rPr>
          <w:sz w:val="24"/>
          <w:szCs w:val="24"/>
        </w:rPr>
        <w:t>Ano. Nám jo.</w:t>
      </w:r>
    </w:p>
    <w:p w:rsidR="00DD4FB5" w:rsidRDefault="00502C37">
      <w:pPr>
        <w:spacing w:after="0"/>
        <w:jc w:val="both"/>
        <w:rPr>
          <w:sz w:val="24"/>
          <w:szCs w:val="24"/>
        </w:rPr>
      </w:pPr>
      <w:r>
        <w:rPr>
          <w:b/>
          <w:sz w:val="24"/>
          <w:szCs w:val="24"/>
        </w:rPr>
        <w:t xml:space="preserve">Bohdana: </w:t>
      </w:r>
      <w:r>
        <w:rPr>
          <w:sz w:val="24"/>
          <w:szCs w:val="24"/>
        </w:rPr>
        <w:t>Nám stoprocentně. Spousta věcí je pro nás asi</w:t>
      </w:r>
      <w:r>
        <w:rPr>
          <w:sz w:val="24"/>
          <w:szCs w:val="24"/>
        </w:rPr>
        <w:t xml:space="preserve"> jednodušších, i když některé jsou zas složitější. Například jsme v tom ponořeni 24 hodin… no to přeháním, taky někdy spíme…</w:t>
      </w:r>
    </w:p>
    <w:p w:rsidR="00DD4FB5" w:rsidRDefault="00DD4FB5">
      <w:pPr>
        <w:spacing w:after="0"/>
        <w:jc w:val="both"/>
        <w:rPr>
          <w:b/>
          <w:sz w:val="24"/>
          <w:szCs w:val="24"/>
        </w:rPr>
      </w:pPr>
    </w:p>
    <w:p w:rsidR="00DD4FB5" w:rsidRDefault="00502C37">
      <w:pPr>
        <w:spacing w:after="0"/>
        <w:jc w:val="both"/>
        <w:rPr>
          <w:b/>
          <w:i/>
          <w:sz w:val="24"/>
          <w:szCs w:val="24"/>
        </w:rPr>
      </w:pPr>
      <w:r>
        <w:rPr>
          <w:b/>
          <w:i/>
          <w:sz w:val="24"/>
          <w:szCs w:val="24"/>
        </w:rPr>
        <w:t>Ale berete si práci domů…</w:t>
      </w:r>
    </w:p>
    <w:p w:rsidR="00DD4FB5" w:rsidRDefault="00DD4FB5">
      <w:pPr>
        <w:spacing w:after="0"/>
        <w:jc w:val="both"/>
        <w:rPr>
          <w:i/>
          <w:sz w:val="24"/>
          <w:szCs w:val="24"/>
        </w:rPr>
      </w:pPr>
    </w:p>
    <w:p w:rsidR="00DD4FB5" w:rsidRDefault="00502C37">
      <w:pPr>
        <w:spacing w:after="0"/>
        <w:jc w:val="both"/>
        <w:rPr>
          <w:sz w:val="24"/>
          <w:szCs w:val="24"/>
        </w:rPr>
      </w:pPr>
      <w:r>
        <w:rPr>
          <w:b/>
          <w:sz w:val="24"/>
          <w:szCs w:val="24"/>
        </w:rPr>
        <w:t xml:space="preserve">Bohdana: </w:t>
      </w:r>
      <w:r>
        <w:rPr>
          <w:sz w:val="24"/>
          <w:szCs w:val="24"/>
        </w:rPr>
        <w:t>Ano. Ale vlastně se nám nikdy nestalo, že bychom se na nějaké situaci, kterou spolu tvoříme na</w:t>
      </w:r>
      <w:r>
        <w:rPr>
          <w:sz w:val="24"/>
          <w:szCs w:val="24"/>
        </w:rPr>
        <w:t xml:space="preserve"> jevišti, kousli tak, aby to dospělo k nějaké roztržce či rozepři. Spíš je to jiná forma komunikace, sdílení nápadů, vyříkávání dané věci v dialogu.</w:t>
      </w:r>
    </w:p>
    <w:p w:rsidR="00DD4FB5" w:rsidRDefault="00502C37">
      <w:pPr>
        <w:spacing w:after="0"/>
        <w:jc w:val="both"/>
        <w:rPr>
          <w:sz w:val="24"/>
          <w:szCs w:val="24"/>
        </w:rPr>
      </w:pPr>
      <w:r>
        <w:rPr>
          <w:b/>
          <w:sz w:val="24"/>
          <w:szCs w:val="24"/>
        </w:rPr>
        <w:t>Luboš:</w:t>
      </w:r>
      <w:r>
        <w:rPr>
          <w:b/>
          <w:sz w:val="24"/>
          <w:szCs w:val="24"/>
        </w:rPr>
        <w:tab/>
      </w:r>
      <w:r>
        <w:rPr>
          <w:sz w:val="24"/>
          <w:szCs w:val="24"/>
        </w:rPr>
        <w:t>A lepší se to učí, protože si to říkáme nahlas doma, kdežto kdyby to byl jiný herec, z jiné domácnos</w:t>
      </w:r>
      <w:r>
        <w:rPr>
          <w:sz w:val="24"/>
          <w:szCs w:val="24"/>
        </w:rPr>
        <w:t>ti, tak se učíte jen svůj text. A pak jste vykolejení z toho, co ten druhý vlastně říká…</w:t>
      </w:r>
    </w:p>
    <w:p w:rsidR="00DD4FB5" w:rsidRDefault="00DD4FB5">
      <w:pPr>
        <w:spacing w:after="0"/>
        <w:jc w:val="both"/>
        <w:rPr>
          <w:i/>
          <w:sz w:val="24"/>
          <w:szCs w:val="24"/>
        </w:rPr>
      </w:pPr>
    </w:p>
    <w:p w:rsidR="00DD4FB5" w:rsidRDefault="00502C37">
      <w:pPr>
        <w:spacing w:after="0"/>
        <w:jc w:val="both"/>
        <w:rPr>
          <w:b/>
          <w:i/>
          <w:sz w:val="24"/>
          <w:szCs w:val="24"/>
        </w:rPr>
      </w:pPr>
      <w:r>
        <w:rPr>
          <w:b/>
          <w:i/>
          <w:sz w:val="24"/>
          <w:szCs w:val="24"/>
        </w:rPr>
        <w:t>Pro koho je podle vás inscenace určená? Potřebuje mít člověk tzv. „odžito“?</w:t>
      </w:r>
    </w:p>
    <w:p w:rsidR="00DD4FB5" w:rsidRDefault="00DD4FB5">
      <w:pPr>
        <w:spacing w:after="0"/>
        <w:jc w:val="both"/>
        <w:rPr>
          <w:b/>
          <w:i/>
          <w:sz w:val="24"/>
          <w:szCs w:val="24"/>
        </w:rPr>
      </w:pPr>
    </w:p>
    <w:p w:rsidR="00DD4FB5" w:rsidRDefault="00502C37">
      <w:pPr>
        <w:spacing w:after="0"/>
        <w:jc w:val="both"/>
        <w:rPr>
          <w:sz w:val="24"/>
          <w:szCs w:val="24"/>
        </w:rPr>
      </w:pPr>
      <w:r>
        <w:rPr>
          <w:b/>
          <w:sz w:val="24"/>
          <w:szCs w:val="24"/>
        </w:rPr>
        <w:t xml:space="preserve">Bohdana: </w:t>
      </w:r>
      <w:r>
        <w:rPr>
          <w:sz w:val="24"/>
          <w:szCs w:val="24"/>
        </w:rPr>
        <w:t>Každý zestárneme, pokud nám osud, pánbůh nebo vyšší moc dovolí zestárnout, pokud</w:t>
      </w:r>
      <w:r>
        <w:rPr>
          <w:sz w:val="24"/>
          <w:szCs w:val="24"/>
        </w:rPr>
        <w:t xml:space="preserve"> se nám poštěstí, tak se s něčím takovým setkáme. Nebo dva lidi, kteří spolu žijí. My to hrajeme o dvou lidech. Takže je to i pro mladé lidi.  Je to náhled toho, co je čeká. A teď záleží na tom, jestli jim zprostředkujeme ten jejich poslední den ve formě, </w:t>
      </w:r>
      <w:r>
        <w:rPr>
          <w:sz w:val="24"/>
          <w:szCs w:val="24"/>
        </w:rPr>
        <w:t>která je pro ně přijatelná, anebo si naopak řeknou: Tak takhle já bych dožít nechtěl.</w:t>
      </w:r>
    </w:p>
    <w:p w:rsidR="00DD4FB5" w:rsidRDefault="00502C37">
      <w:pPr>
        <w:spacing w:after="0"/>
        <w:jc w:val="both"/>
        <w:rPr>
          <w:sz w:val="24"/>
          <w:szCs w:val="24"/>
        </w:rPr>
      </w:pPr>
      <w:r>
        <w:rPr>
          <w:b/>
          <w:sz w:val="24"/>
          <w:szCs w:val="24"/>
        </w:rPr>
        <w:lastRenderedPageBreak/>
        <w:t xml:space="preserve">Luboš: </w:t>
      </w:r>
      <w:r>
        <w:rPr>
          <w:sz w:val="24"/>
          <w:szCs w:val="24"/>
        </w:rPr>
        <w:t>Každý asi máme nějakou reflexi. Ve třiceti letech si člověk říká takové ty vtipy: jó ve dvaceti to bylo dobrý. Ve čtyřiceti letech jsem si začal uvědomovat, že mám</w:t>
      </w:r>
      <w:r>
        <w:rPr>
          <w:sz w:val="24"/>
          <w:szCs w:val="24"/>
        </w:rPr>
        <w:t xml:space="preserve"> za sebou půlku života (v tom lepším případě). Takže vlastně i když budeme hrát osmdesáti leté lidi, tak si myslím, že témata, kterých se tam dotýkáme, jsou všeobecně platná i pro třicátníka.</w:t>
      </w:r>
    </w:p>
    <w:p w:rsidR="00DD4FB5" w:rsidRDefault="00DD4FB5">
      <w:pPr>
        <w:spacing w:after="0"/>
        <w:jc w:val="both"/>
        <w:rPr>
          <w:sz w:val="24"/>
          <w:szCs w:val="24"/>
        </w:rPr>
      </w:pPr>
    </w:p>
    <w:p w:rsidR="00DD4FB5" w:rsidRDefault="00502C37">
      <w:pPr>
        <w:spacing w:after="0"/>
        <w:jc w:val="both"/>
        <w:rPr>
          <w:b/>
          <w:i/>
          <w:sz w:val="24"/>
          <w:szCs w:val="24"/>
        </w:rPr>
      </w:pPr>
      <w:r>
        <w:rPr>
          <w:b/>
          <w:i/>
          <w:sz w:val="24"/>
          <w:szCs w:val="24"/>
        </w:rPr>
        <w:t>Jaký je váš recept na spokojený společný život?</w:t>
      </w:r>
    </w:p>
    <w:p w:rsidR="00DD4FB5" w:rsidRDefault="00DD4FB5">
      <w:pPr>
        <w:spacing w:after="0"/>
        <w:jc w:val="both"/>
        <w:rPr>
          <w:b/>
          <w:sz w:val="24"/>
          <w:szCs w:val="24"/>
        </w:rPr>
      </w:pPr>
    </w:p>
    <w:p w:rsidR="00DD4FB5" w:rsidRDefault="00502C37">
      <w:pPr>
        <w:spacing w:after="0"/>
        <w:jc w:val="both"/>
        <w:rPr>
          <w:sz w:val="24"/>
          <w:szCs w:val="24"/>
        </w:rPr>
      </w:pPr>
      <w:r>
        <w:rPr>
          <w:b/>
          <w:sz w:val="24"/>
          <w:szCs w:val="24"/>
        </w:rPr>
        <w:t xml:space="preserve">Bohdana: </w:t>
      </w:r>
      <w:r>
        <w:rPr>
          <w:sz w:val="24"/>
          <w:szCs w:val="24"/>
        </w:rPr>
        <w:t>Recept není. My k tomu receptu docházíme, takže ho můžeme zpětně pojmenovat, ale to, co bude, dopředu nevíme.</w:t>
      </w:r>
    </w:p>
    <w:p w:rsidR="00DD4FB5" w:rsidRDefault="00502C37">
      <w:pPr>
        <w:spacing w:after="0"/>
        <w:jc w:val="both"/>
        <w:rPr>
          <w:sz w:val="24"/>
          <w:szCs w:val="24"/>
        </w:rPr>
      </w:pPr>
      <w:r>
        <w:rPr>
          <w:sz w:val="24"/>
          <w:szCs w:val="24"/>
        </w:rPr>
        <w:t>Já třeba nerada vařím podle receptů. Takže je to spíš neustálé zkoumání a vylepšování věcí, které byly, do věci, které přijdou. Je to spíš improvi</w:t>
      </w:r>
      <w:r>
        <w:rPr>
          <w:sz w:val="24"/>
          <w:szCs w:val="24"/>
        </w:rPr>
        <w:t xml:space="preserve">zace, než recept. </w:t>
      </w:r>
    </w:p>
    <w:p w:rsidR="00DD4FB5" w:rsidRDefault="00502C37">
      <w:pPr>
        <w:spacing w:after="0"/>
        <w:jc w:val="both"/>
        <w:rPr>
          <w:sz w:val="24"/>
          <w:szCs w:val="24"/>
        </w:rPr>
      </w:pPr>
      <w:r>
        <w:rPr>
          <w:b/>
          <w:sz w:val="24"/>
          <w:szCs w:val="24"/>
        </w:rPr>
        <w:t xml:space="preserve">Luboš: </w:t>
      </w:r>
      <w:r>
        <w:rPr>
          <w:sz w:val="24"/>
          <w:szCs w:val="24"/>
        </w:rPr>
        <w:t xml:space="preserve">Já to mám úplně jednoduchý – vyvarovat se chyb, které jsem dělal v předchozích partnerstvích. My máme štěstí, že tohle vůbec neřešíme. Štěstí je v tom, že věci samy od sebe plynou a plynou… k naší spokojenosti. </w:t>
      </w:r>
    </w:p>
    <w:p w:rsidR="00DD4FB5" w:rsidRDefault="00DD4FB5">
      <w:pPr>
        <w:jc w:val="center"/>
      </w:pPr>
    </w:p>
    <w:p w:rsidR="00DD4FB5" w:rsidRDefault="00502C37">
      <w:pPr>
        <w:jc w:val="center"/>
        <w:rPr>
          <w:b/>
        </w:rPr>
      </w:pPr>
      <w:r>
        <w:rPr>
          <w:b/>
        </w:rPr>
        <w:t>KONTEXT</w:t>
      </w:r>
    </w:p>
    <w:p w:rsidR="00DD4FB5" w:rsidRDefault="00502C37">
      <w:pPr>
        <w:spacing w:after="0"/>
        <w:rPr>
          <w:rFonts w:ascii="Arial" w:eastAsia="Arial" w:hAnsi="Arial" w:cs="Arial"/>
          <w:b/>
          <w:i/>
        </w:rPr>
      </w:pPr>
      <w:r>
        <w:rPr>
          <w:rFonts w:ascii="Arial" w:eastAsia="Arial" w:hAnsi="Arial" w:cs="Arial"/>
          <w:b/>
          <w:i/>
        </w:rPr>
        <w:t>“K mezige</w:t>
      </w:r>
      <w:r>
        <w:rPr>
          <w:rFonts w:ascii="Arial" w:eastAsia="Arial" w:hAnsi="Arial" w:cs="Arial"/>
          <w:b/>
          <w:i/>
        </w:rPr>
        <w:t>nerační solidaritě přispívá komunikace s dětmi”</w:t>
      </w:r>
    </w:p>
    <w:p w:rsidR="00DD4FB5" w:rsidRDefault="00DD4FB5">
      <w:pPr>
        <w:spacing w:after="0"/>
        <w:rPr>
          <w:rFonts w:ascii="Arial" w:eastAsia="Arial" w:hAnsi="Arial" w:cs="Arial"/>
          <w:i/>
        </w:rPr>
      </w:pPr>
    </w:p>
    <w:p w:rsidR="00DD4FB5" w:rsidRDefault="00502C37">
      <w:pPr>
        <w:spacing w:after="0"/>
        <w:rPr>
          <w:rFonts w:ascii="Arial" w:eastAsia="Arial" w:hAnsi="Arial" w:cs="Arial"/>
          <w:i/>
        </w:rPr>
      </w:pPr>
      <w:r>
        <w:rPr>
          <w:rFonts w:ascii="Arial" w:eastAsia="Arial" w:hAnsi="Arial" w:cs="Arial"/>
          <w:i/>
        </w:rPr>
        <w:t>Rozhovor s Lucií Rybyšarovou, vedoucí Centra aktivního stáří v organizaci Život 90.</w:t>
      </w:r>
    </w:p>
    <w:p w:rsidR="00DD4FB5" w:rsidRDefault="00DD4FB5">
      <w:pPr>
        <w:spacing w:after="0"/>
        <w:rPr>
          <w:rFonts w:ascii="Arial" w:eastAsia="Arial" w:hAnsi="Arial" w:cs="Arial"/>
          <w:i/>
        </w:rPr>
      </w:pPr>
    </w:p>
    <w:p w:rsidR="00DD4FB5" w:rsidRDefault="00502C37">
      <w:pPr>
        <w:spacing w:after="0"/>
        <w:rPr>
          <w:rFonts w:ascii="Arial" w:eastAsia="Arial" w:hAnsi="Arial" w:cs="Arial"/>
        </w:rPr>
      </w:pPr>
      <w:r>
        <w:rPr>
          <w:rFonts w:ascii="Arial" w:eastAsia="Arial" w:hAnsi="Arial" w:cs="Arial"/>
          <w:b/>
        </w:rPr>
        <w:t>Podle čeho se podle vás definuje stáří? Dá se říci, kdo je mladý a kdo už starý?</w:t>
      </w:r>
    </w:p>
    <w:p w:rsidR="00DD4FB5" w:rsidRDefault="00502C37">
      <w:pPr>
        <w:spacing w:after="0"/>
        <w:rPr>
          <w:rFonts w:ascii="Arial" w:eastAsia="Arial" w:hAnsi="Arial" w:cs="Arial"/>
        </w:rPr>
      </w:pPr>
      <w:r>
        <w:rPr>
          <w:rFonts w:ascii="Arial" w:eastAsia="Arial" w:hAnsi="Arial" w:cs="Arial"/>
        </w:rPr>
        <w:t>Kdo je mladý a kdo zas starý, je hodne su</w:t>
      </w:r>
      <w:r>
        <w:rPr>
          <w:rFonts w:ascii="Arial" w:eastAsia="Arial" w:hAnsi="Arial" w:cs="Arial"/>
        </w:rPr>
        <w:t>bjektivní věc. Například u nás během kurzů, když se dámy - seniorky svolávají na hodinu, volají na sebe: “Holky, začínáme!” My na ně pohlížíme jako na starší osoby, ale ony samy se vidí jako mladší. Zároveň když jsme byli s gerontooblekem (simulátor stáří)</w:t>
      </w:r>
      <w:r>
        <w:rPr>
          <w:rFonts w:ascii="Arial" w:eastAsia="Arial" w:hAnsi="Arial" w:cs="Arial"/>
        </w:rPr>
        <w:t xml:space="preserve"> ve škole a ptali jsme se deváťáků, kdo je podle nich starý, říkali, že stará je jejich máma, což je paní, které může být plus mínus čtyřicet. Ale pak, když jsme  se jich zeptali, jestli by si vzali dudlík, tak říkali, že ne, že už jsou na to staří. Takže </w:t>
      </w:r>
      <w:r>
        <w:rPr>
          <w:rFonts w:ascii="Arial" w:eastAsia="Arial" w:hAnsi="Arial" w:cs="Arial"/>
        </w:rPr>
        <w:t>jde o úhel pohledu.</w:t>
      </w:r>
    </w:p>
    <w:p w:rsidR="00DD4FB5" w:rsidRDefault="00502C37">
      <w:pPr>
        <w:spacing w:after="0"/>
        <w:rPr>
          <w:rFonts w:ascii="Arial" w:eastAsia="Arial" w:hAnsi="Arial" w:cs="Arial"/>
        </w:rPr>
      </w:pPr>
      <w:r>
        <w:rPr>
          <w:rFonts w:ascii="Arial" w:eastAsia="Arial" w:hAnsi="Arial" w:cs="Arial"/>
        </w:rPr>
        <w:t>Za mě je jediná jakási “definice” stáří, že je to poslední etapa lidského života.</w:t>
      </w:r>
    </w:p>
    <w:p w:rsidR="00DD4FB5" w:rsidRDefault="00DD4FB5">
      <w:pPr>
        <w:spacing w:after="0"/>
        <w:rPr>
          <w:rFonts w:ascii="Arial" w:eastAsia="Arial" w:hAnsi="Arial" w:cs="Arial"/>
        </w:rPr>
      </w:pPr>
    </w:p>
    <w:p w:rsidR="00DD4FB5" w:rsidRDefault="00502C37">
      <w:pPr>
        <w:spacing w:after="0"/>
        <w:rPr>
          <w:rFonts w:ascii="Arial" w:eastAsia="Arial" w:hAnsi="Arial" w:cs="Arial"/>
          <w:b/>
        </w:rPr>
      </w:pPr>
      <w:r>
        <w:rPr>
          <w:rFonts w:ascii="Arial" w:eastAsia="Arial" w:hAnsi="Arial" w:cs="Arial"/>
          <w:b/>
        </w:rPr>
        <w:t>S jakými stereotypy o seniorech se nejčastěji potkáváte?</w:t>
      </w:r>
    </w:p>
    <w:p w:rsidR="00DD4FB5" w:rsidRDefault="00DD4FB5">
      <w:pPr>
        <w:spacing w:after="0"/>
        <w:rPr>
          <w:rFonts w:ascii="Arial" w:eastAsia="Arial" w:hAnsi="Arial" w:cs="Arial"/>
        </w:rPr>
      </w:pPr>
    </w:p>
    <w:p w:rsidR="00DD4FB5" w:rsidRDefault="00502C37">
      <w:pPr>
        <w:spacing w:after="0"/>
        <w:rPr>
          <w:rFonts w:ascii="Arial" w:eastAsia="Arial" w:hAnsi="Arial" w:cs="Arial"/>
          <w:sz w:val="20"/>
          <w:szCs w:val="20"/>
        </w:rPr>
      </w:pPr>
      <w:r>
        <w:rPr>
          <w:rFonts w:ascii="Arial" w:eastAsia="Arial" w:hAnsi="Arial" w:cs="Arial"/>
        </w:rPr>
        <w:t xml:space="preserve">Záleží na tom, jaké generace se budeme na ty stereotypy ptát. Jiné si budou myslet padesátníci </w:t>
      </w:r>
      <w:r>
        <w:rPr>
          <w:rFonts w:ascii="Arial" w:eastAsia="Arial" w:hAnsi="Arial" w:cs="Arial"/>
        </w:rPr>
        <w:t>a něco jiného budou mít na mysli dvacetiletí. Obecně si ale myslím, že v sobě máme zakořeněné, že senioři a seniorky jsou jedna homogenní skupina, ale ono to tak není. Je to pestrá skupina jako každá jiná. Tak jako jsou různí lidé středního věku, jsou různ</w:t>
      </w:r>
      <w:r>
        <w:rPr>
          <w:rFonts w:ascii="Arial" w:eastAsia="Arial" w:hAnsi="Arial" w:cs="Arial"/>
        </w:rPr>
        <w:t xml:space="preserve">orodí i senioři. </w:t>
      </w:r>
      <w:r>
        <w:rPr>
          <w:rFonts w:ascii="Arial" w:eastAsia="Arial" w:hAnsi="Arial" w:cs="Arial"/>
          <w:highlight w:val="white"/>
        </w:rPr>
        <w:t>Kalendářní věk člověka navíc nevypovídá nic o naší kondici, samostatnosti a soběstačnosti. Například 70 letý člověk může ještě chodit do práce, nebo může být odkázán na péči druhých.</w:t>
      </w:r>
    </w:p>
    <w:p w:rsidR="00DD4FB5" w:rsidRDefault="00DD4FB5">
      <w:pPr>
        <w:spacing w:after="0"/>
        <w:rPr>
          <w:rFonts w:ascii="Arial" w:eastAsia="Arial" w:hAnsi="Arial" w:cs="Arial"/>
        </w:rPr>
      </w:pPr>
    </w:p>
    <w:p w:rsidR="00DD4FB5" w:rsidRDefault="00502C37">
      <w:pPr>
        <w:spacing w:after="0"/>
        <w:rPr>
          <w:rFonts w:ascii="Arial" w:eastAsia="Arial" w:hAnsi="Arial" w:cs="Arial"/>
          <w:b/>
        </w:rPr>
      </w:pPr>
      <w:r>
        <w:rPr>
          <w:rFonts w:ascii="Arial" w:eastAsia="Arial" w:hAnsi="Arial" w:cs="Arial"/>
          <w:b/>
        </w:rPr>
        <w:t>Existuje způsob jak komunikovat s lidmi, kterým selhává</w:t>
      </w:r>
      <w:r>
        <w:rPr>
          <w:rFonts w:ascii="Arial" w:eastAsia="Arial" w:hAnsi="Arial" w:cs="Arial"/>
          <w:b/>
        </w:rPr>
        <w:t xml:space="preserve"> paměť?</w:t>
      </w:r>
    </w:p>
    <w:p w:rsidR="00DD4FB5" w:rsidRDefault="00502C37">
      <w:pPr>
        <w:spacing w:after="0"/>
        <w:rPr>
          <w:rFonts w:ascii="Arial" w:eastAsia="Arial" w:hAnsi="Arial" w:cs="Arial"/>
        </w:rPr>
      </w:pPr>
      <w:r>
        <w:rPr>
          <w:rFonts w:ascii="Arial" w:eastAsia="Arial" w:hAnsi="Arial" w:cs="Arial"/>
        </w:rPr>
        <w:t>Je třeba uvědomit si, že mají jiný náhled na realitu. A je na nás, abychom se pokusili podívat se na svět i očima toho nemocného. On nemá možnost pohlížet na realitu jako takovou našima očima. Když sedíte s někým naproti a zeptáte se ho, na které s</w:t>
      </w:r>
      <w:r>
        <w:rPr>
          <w:rFonts w:ascii="Arial" w:eastAsia="Arial" w:hAnsi="Arial" w:cs="Arial"/>
        </w:rPr>
        <w:t xml:space="preserve">traně je okno, pro </w:t>
      </w:r>
      <w:r>
        <w:rPr>
          <w:rFonts w:ascii="Arial" w:eastAsia="Arial" w:hAnsi="Arial" w:cs="Arial"/>
        </w:rPr>
        <w:lastRenderedPageBreak/>
        <w:t xml:space="preserve">něho je to okno na straně levé a pro vás na straně pravé. Ale když nahlédnete jeho realitu, tak víte, že je to na levé straně a nebudete se s ním hádat. </w:t>
      </w:r>
    </w:p>
    <w:p w:rsidR="00DD4FB5" w:rsidRDefault="00502C37">
      <w:pPr>
        <w:spacing w:after="0"/>
        <w:rPr>
          <w:rFonts w:ascii="Arial" w:eastAsia="Arial" w:hAnsi="Arial" w:cs="Arial"/>
        </w:rPr>
      </w:pPr>
      <w:r>
        <w:rPr>
          <w:rFonts w:ascii="Arial" w:eastAsia="Arial" w:hAnsi="Arial" w:cs="Arial"/>
        </w:rPr>
        <w:t>Například, když takový člověk volá po své mamince, není cesta ho každý den nutit zn</w:t>
      </w:r>
      <w:r>
        <w:rPr>
          <w:rFonts w:ascii="Arial" w:eastAsia="Arial" w:hAnsi="Arial" w:cs="Arial"/>
        </w:rPr>
        <w:t xml:space="preserve">ovu prožívat úmrtí své matky. Ale řešení není ani lhát mu o tom, že je jeho matka naživu. On ji volá, protože od ní něco potřebuje. V takovém případě nás má spíš zajímat, co by po ní chtěl a jestli mu to nemůžeme splnit místo ní. </w:t>
      </w:r>
    </w:p>
    <w:p w:rsidR="00DD4FB5" w:rsidRDefault="00DD4FB5">
      <w:pPr>
        <w:spacing w:after="0"/>
        <w:rPr>
          <w:rFonts w:ascii="Arial" w:eastAsia="Arial" w:hAnsi="Arial" w:cs="Arial"/>
        </w:rPr>
      </w:pPr>
    </w:p>
    <w:p w:rsidR="00DD4FB5" w:rsidRDefault="00502C37">
      <w:pPr>
        <w:spacing w:after="0"/>
        <w:rPr>
          <w:rFonts w:ascii="Arial" w:eastAsia="Arial" w:hAnsi="Arial" w:cs="Arial"/>
          <w:b/>
        </w:rPr>
      </w:pPr>
      <w:r>
        <w:rPr>
          <w:rFonts w:ascii="Arial" w:eastAsia="Arial" w:hAnsi="Arial" w:cs="Arial"/>
          <w:b/>
        </w:rPr>
        <w:t>Jak se nejlépe mohou postarat mladší generace o ty starší?</w:t>
      </w:r>
    </w:p>
    <w:p w:rsidR="00DD4FB5" w:rsidRDefault="00502C37">
      <w:pPr>
        <w:spacing w:after="0"/>
        <w:rPr>
          <w:rFonts w:ascii="Arial" w:eastAsia="Arial" w:hAnsi="Arial" w:cs="Arial"/>
        </w:rPr>
      </w:pPr>
      <w:r>
        <w:rPr>
          <w:rFonts w:ascii="Arial" w:eastAsia="Arial" w:hAnsi="Arial" w:cs="Arial"/>
        </w:rPr>
        <w:t>Tak, jak bychom chtěli, aby se jednou naše děti chovali k nám, protože ty se nejčastěji učí od nás, okoukávají naše chování. Důležitý je aspekt laskavosti a úcty ke zkušenostem starších osob.</w:t>
      </w:r>
    </w:p>
    <w:p w:rsidR="00DD4FB5" w:rsidRDefault="00502C37">
      <w:pPr>
        <w:spacing w:after="0"/>
        <w:rPr>
          <w:rFonts w:ascii="Arial" w:eastAsia="Arial" w:hAnsi="Arial" w:cs="Arial"/>
        </w:rPr>
      </w:pPr>
      <w:r>
        <w:rPr>
          <w:rFonts w:ascii="Arial" w:eastAsia="Arial" w:hAnsi="Arial" w:cs="Arial"/>
        </w:rPr>
        <w:t>K mez</w:t>
      </w:r>
      <w:r>
        <w:rPr>
          <w:rFonts w:ascii="Arial" w:eastAsia="Arial" w:hAnsi="Arial" w:cs="Arial"/>
        </w:rPr>
        <w:t xml:space="preserve">igenerační solidaritě přispívá i komunikace s dětmi. Například, když jsme byli s gerontooblekem v devátých třídách a žáci říkali, že staří lidé jsou scvrklí, naše reakce nebyla: “tohle se neříká”, ale bavili jsme se o tom, co to znamená. Znamená to, že má </w:t>
      </w:r>
      <w:r>
        <w:rPr>
          <w:rFonts w:ascii="Arial" w:eastAsia="Arial" w:hAnsi="Arial" w:cs="Arial"/>
        </w:rPr>
        <w:t>někdo vrásky, a to je vlastně přirozenost. A vrásky nemá jen starý člověk, ale třeba už lidé ve třiceti. Neměli bychom shazovat to, co dítě říká, ale bavit se s ním a respektovat to, že má nějaký názor. To mezigenerační propojování je podle mě cesta k tomu</w:t>
      </w:r>
      <w:r>
        <w:rPr>
          <w:rFonts w:ascii="Arial" w:eastAsia="Arial" w:hAnsi="Arial" w:cs="Arial"/>
        </w:rPr>
        <w:t>, aby ,až já jednou zestárnu, se o nás uměla generace, která doroste, hezky postarat.</w:t>
      </w:r>
    </w:p>
    <w:p w:rsidR="00DD4FB5" w:rsidRDefault="00DD4FB5">
      <w:pPr>
        <w:spacing w:after="0"/>
        <w:rPr>
          <w:rFonts w:ascii="Arial" w:eastAsia="Arial" w:hAnsi="Arial" w:cs="Arial"/>
        </w:rPr>
      </w:pPr>
    </w:p>
    <w:p w:rsidR="00DD4FB5" w:rsidRDefault="00502C37">
      <w:pPr>
        <w:spacing w:after="0"/>
        <w:rPr>
          <w:rFonts w:ascii="Arial" w:eastAsia="Arial" w:hAnsi="Arial" w:cs="Arial"/>
          <w:b/>
        </w:rPr>
      </w:pPr>
      <w:r>
        <w:rPr>
          <w:rFonts w:ascii="Arial" w:eastAsia="Arial" w:hAnsi="Arial" w:cs="Arial"/>
          <w:b/>
        </w:rPr>
        <w:t>Život 90</w:t>
      </w:r>
    </w:p>
    <w:p w:rsidR="00DD4FB5" w:rsidRDefault="00502C37">
      <w:pPr>
        <w:spacing w:after="0"/>
        <w:rPr>
          <w:rFonts w:ascii="Arial" w:eastAsia="Arial" w:hAnsi="Arial" w:cs="Arial"/>
        </w:rPr>
      </w:pPr>
      <w:r>
        <w:rPr>
          <w:rFonts w:ascii="Arial" w:eastAsia="Arial" w:hAnsi="Arial" w:cs="Arial"/>
        </w:rPr>
        <w:t>Co všichni potřebujeme ke spokojenému životu bez ohledu na věk? </w:t>
      </w:r>
    </w:p>
    <w:p w:rsidR="00DD4FB5" w:rsidRDefault="00502C37">
      <w:pPr>
        <w:spacing w:after="0"/>
        <w:rPr>
          <w:rFonts w:ascii="Arial" w:eastAsia="Arial" w:hAnsi="Arial" w:cs="Arial"/>
        </w:rPr>
      </w:pPr>
      <w:r>
        <w:rPr>
          <w:rFonts w:ascii="Arial" w:eastAsia="Arial" w:hAnsi="Arial" w:cs="Arial"/>
        </w:rPr>
        <w:t xml:space="preserve">Kromě zdraví, které ovlivňujeme jen do určité míry, určitě respekt a sebeúctu. Proto vznikl ŽIVOT 90. </w:t>
      </w:r>
    </w:p>
    <w:p w:rsidR="00DD4FB5" w:rsidRDefault="00DD4FB5">
      <w:pPr>
        <w:spacing w:after="0"/>
        <w:rPr>
          <w:rFonts w:ascii="Arial" w:eastAsia="Arial" w:hAnsi="Arial" w:cs="Arial"/>
        </w:rPr>
      </w:pPr>
    </w:p>
    <w:p w:rsidR="00DD4FB5" w:rsidRDefault="00502C37">
      <w:pPr>
        <w:spacing w:after="0"/>
        <w:rPr>
          <w:rFonts w:ascii="Arial" w:eastAsia="Arial" w:hAnsi="Arial" w:cs="Arial"/>
        </w:rPr>
      </w:pPr>
      <w:r>
        <w:rPr>
          <w:rFonts w:ascii="Arial" w:eastAsia="Arial" w:hAnsi="Arial" w:cs="Arial"/>
        </w:rPr>
        <w:t xml:space="preserve">Naším cílem je především podporovat nezávislost u starších lidí. Chceme, aby ve všedních povinnostech byli co nejsamostatnější, nevzdávali se vlastního </w:t>
      </w:r>
      <w:r>
        <w:rPr>
          <w:rFonts w:ascii="Arial" w:eastAsia="Arial" w:hAnsi="Arial" w:cs="Arial"/>
        </w:rPr>
        <w:t xml:space="preserve">úsudku a rozhodování a nepřestávali se podílet na společenském životě.   </w:t>
      </w:r>
    </w:p>
    <w:p w:rsidR="00DD4FB5" w:rsidRDefault="00502C37">
      <w:pPr>
        <w:spacing w:after="0"/>
        <w:rPr>
          <w:rFonts w:ascii="Arial" w:eastAsia="Arial" w:hAnsi="Arial" w:cs="Arial"/>
        </w:rPr>
      </w:pPr>
      <w:r>
        <w:rPr>
          <w:rFonts w:ascii="Arial" w:eastAsia="Arial" w:hAnsi="Arial" w:cs="Arial"/>
        </w:rPr>
        <w:t>Jsme průvodci seniorů, když jsou v plné kondici, mají spoustu nápadů a chuť se realizovat. Jsme s nimi i tehdy, když je začínají zrazovat fyzické i psychické síly.  Svou podporu nabí</w:t>
      </w:r>
      <w:r>
        <w:rPr>
          <w:rFonts w:ascii="Arial" w:eastAsia="Arial" w:hAnsi="Arial" w:cs="Arial"/>
        </w:rPr>
        <w:t xml:space="preserve">zíme i těm, kteří o ně pečující.  </w:t>
      </w:r>
    </w:p>
    <w:p w:rsidR="00DD4FB5" w:rsidRDefault="00502C37">
      <w:pPr>
        <w:spacing w:after="0"/>
        <w:jc w:val="right"/>
        <w:rPr>
          <w:rFonts w:ascii="Arial" w:eastAsia="Arial" w:hAnsi="Arial" w:cs="Arial"/>
        </w:rPr>
      </w:pPr>
      <w:r>
        <w:rPr>
          <w:rFonts w:ascii="Arial" w:eastAsia="Arial" w:hAnsi="Arial" w:cs="Arial"/>
        </w:rPr>
        <w:t>(www.zivot90.cz)</w:t>
      </w:r>
    </w:p>
    <w:p w:rsidR="00DD4FB5" w:rsidRDefault="00DD4FB5">
      <w:pPr>
        <w:spacing w:after="0"/>
        <w:rPr>
          <w:rFonts w:ascii="Arial" w:eastAsia="Arial" w:hAnsi="Arial" w:cs="Arial"/>
          <w:b/>
          <w:i/>
        </w:rPr>
      </w:pPr>
    </w:p>
    <w:p w:rsidR="00DD4FB5" w:rsidRDefault="00502C37">
      <w:pPr>
        <w:spacing w:after="140"/>
        <w:rPr>
          <w:b/>
          <w:sz w:val="24"/>
          <w:szCs w:val="24"/>
        </w:rPr>
      </w:pPr>
      <w:r>
        <w:rPr>
          <w:b/>
          <w:sz w:val="24"/>
          <w:szCs w:val="24"/>
        </w:rPr>
        <w:t>Samostatnost ve stáří</w:t>
      </w:r>
    </w:p>
    <w:p w:rsidR="00DD4FB5" w:rsidRDefault="00502C37">
      <w:pPr>
        <w:spacing w:after="140"/>
        <w:rPr>
          <w:sz w:val="24"/>
          <w:szCs w:val="24"/>
        </w:rPr>
      </w:pPr>
      <w:r>
        <w:rPr>
          <w:sz w:val="24"/>
          <w:szCs w:val="24"/>
        </w:rPr>
        <w:t>Podle socioložky D. Sýkorové lze autonomii považovat za „relativní samostatnost jedinců vzhledem k sociálnímu okolí, jejich schopnost, vůli a možnost vést v daném prostředí život po</w:t>
      </w:r>
      <w:r>
        <w:rPr>
          <w:sz w:val="24"/>
          <w:szCs w:val="24"/>
        </w:rPr>
        <w:t>dle vlastních pravidel, rozhodovat o něm a kontrolovat jej“. S pojmem autonomie jsou spojeny další pojmy: „Svoboda jako nepřítomnost interference a současně přítomnost alternativ jednání je nezbytnou podmínkou autonomie individua, rozvinutí jeho cílů a záj</w:t>
      </w:r>
      <w:r>
        <w:rPr>
          <w:sz w:val="24"/>
          <w:szCs w:val="24"/>
        </w:rPr>
        <w:t>mů. Svoboda je svobodou, ponechává-li dostatek prostoru pro lidskou volbu a aktivitu“. Dalším předpokladem autonomie je respekt vůči soukromí individua. Jde o kontrolu informací o vlastní osobě, nevměšování druhých (jednotlivců či institucí), nebýt pod jej</w:t>
      </w:r>
      <w:r>
        <w:rPr>
          <w:sz w:val="24"/>
          <w:szCs w:val="24"/>
        </w:rPr>
        <w:t>ich dohledem. V souvislosti s „ambivalencí“ potřeby soukromí Sýkorová používá citaci od známého evropského sociologa Z. Baumana. Je optimální, když do soukromí můžeme svobodně vstupovat i z něho vystupovat, „když zůstává jen intermezzem mezi obdobími spole</w:t>
      </w:r>
      <w:r>
        <w:rPr>
          <w:sz w:val="24"/>
          <w:szCs w:val="24"/>
        </w:rPr>
        <w:t xml:space="preserve">čenské angažovanosti“, jehož dobu si můžeme stanovit podle vlastního výběru a které je snesitelné </w:t>
      </w:r>
      <w:r>
        <w:rPr>
          <w:sz w:val="24"/>
          <w:szCs w:val="24"/>
        </w:rPr>
        <w:lastRenderedPageBreak/>
        <w:t>„díky naději, že je vždycky možný návrat do společnosti ostatních a s ním i příležitost sdílet s druhými své myšlenky a cíle“.</w:t>
      </w:r>
    </w:p>
    <w:p w:rsidR="00DD4FB5" w:rsidRDefault="00502C37">
      <w:pPr>
        <w:spacing w:after="140"/>
        <w:rPr>
          <w:sz w:val="24"/>
          <w:szCs w:val="24"/>
        </w:rPr>
      </w:pPr>
      <w:r>
        <w:rPr>
          <w:sz w:val="24"/>
          <w:szCs w:val="24"/>
        </w:rPr>
        <w:t>Sýkorová zdůrazňuje rozdíly mez</w:t>
      </w:r>
      <w:r>
        <w:rPr>
          <w:sz w:val="24"/>
          <w:szCs w:val="24"/>
        </w:rPr>
        <w:t xml:space="preserve">i seniory v tom, jak prožívají stárnutí a jakým způsobem se s ním vyrovnávají. Rozlišuje šest různých přístupů, ve kterých se připisuje význam právě autonomii: </w:t>
      </w:r>
    </w:p>
    <w:p w:rsidR="00DD4FB5" w:rsidRDefault="00502C37">
      <w:pPr>
        <w:spacing w:after="140"/>
        <w:rPr>
          <w:sz w:val="24"/>
          <w:szCs w:val="24"/>
        </w:rPr>
      </w:pPr>
      <w:r>
        <w:rPr>
          <w:sz w:val="24"/>
          <w:szCs w:val="24"/>
        </w:rPr>
        <w:t xml:space="preserve">• </w:t>
      </w:r>
      <w:r>
        <w:rPr>
          <w:b/>
          <w:sz w:val="24"/>
          <w:szCs w:val="24"/>
        </w:rPr>
        <w:t>Přístup „mladé stáří“</w:t>
      </w:r>
      <w:r>
        <w:rPr>
          <w:sz w:val="24"/>
          <w:szCs w:val="24"/>
        </w:rPr>
        <w:t> – subjektivní pocit mladosti, fyzické i finanční soběstačnosti, samosta</w:t>
      </w:r>
      <w:r>
        <w:rPr>
          <w:sz w:val="24"/>
          <w:szCs w:val="24"/>
        </w:rPr>
        <w:t xml:space="preserve">tné rozhodování a kompetence. Senioři akcentují vlastní autonomii a respektují autonomii druhých. Základní strategií je rozvoj aktivit středního věku. Zdroj ohrožení osobní autonomie představuje spíše redukce vnějších než vnitřních potenciálů. </w:t>
      </w:r>
    </w:p>
    <w:p w:rsidR="00DD4FB5" w:rsidRDefault="00502C37">
      <w:pPr>
        <w:spacing w:after="140"/>
        <w:rPr>
          <w:sz w:val="24"/>
          <w:szCs w:val="24"/>
        </w:rPr>
      </w:pPr>
      <w:r>
        <w:rPr>
          <w:b/>
          <w:sz w:val="24"/>
          <w:szCs w:val="24"/>
        </w:rPr>
        <w:t>• Přístup „</w:t>
      </w:r>
      <w:r>
        <w:rPr>
          <w:b/>
          <w:sz w:val="24"/>
          <w:szCs w:val="24"/>
        </w:rPr>
        <w:t>vyrovnané stáří“</w:t>
      </w:r>
      <w:r>
        <w:rPr>
          <w:sz w:val="24"/>
          <w:szCs w:val="24"/>
        </w:rPr>
        <w:t> – moudrá akceptace stáří a současných i anticipovaných omezení. Důchod je chápán jako čas svobody, možnost myslet na sebe i být užitečný druhým. Senioři vyhledávají kladné stránky života, v rámci limitů jsou aktivní. Autonomie je autonomií</w:t>
      </w:r>
      <w:r>
        <w:rPr>
          <w:sz w:val="24"/>
          <w:szCs w:val="24"/>
        </w:rPr>
        <w:t xml:space="preserve"> sebevědomou, založenou na sebeúctě a respektující autonomii významných druhých. Vztah k ostatním starým lidem lze charakterizovat jako jemnou chápající distanci.</w:t>
      </w:r>
    </w:p>
    <w:p w:rsidR="00DD4FB5" w:rsidRDefault="00502C37">
      <w:pPr>
        <w:spacing w:after="140"/>
        <w:rPr>
          <w:sz w:val="24"/>
          <w:szCs w:val="24"/>
        </w:rPr>
      </w:pPr>
      <w:r>
        <w:rPr>
          <w:sz w:val="24"/>
          <w:szCs w:val="24"/>
        </w:rPr>
        <w:t xml:space="preserve">• </w:t>
      </w:r>
      <w:r>
        <w:rPr>
          <w:b/>
          <w:sz w:val="24"/>
          <w:szCs w:val="24"/>
        </w:rPr>
        <w:t>Přístup „ambivalentní stáří“</w:t>
      </w:r>
      <w:r>
        <w:rPr>
          <w:sz w:val="24"/>
          <w:szCs w:val="24"/>
        </w:rPr>
        <w:t>  – typické je překonávání negativního postoje k penzionování a</w:t>
      </w:r>
      <w:r>
        <w:rPr>
          <w:sz w:val="24"/>
          <w:szCs w:val="24"/>
        </w:rPr>
        <w:t xml:space="preserve"> stáří. Senioři ostřeji vnímají ohrožení fyzické a finanční soběstačnosti, nikoli však autonomie ve smyslu samostatného rozhodování. Pilířem postupů je aktivita přizpůsobená vnějším a vnitřním možnostem (zájezdy, sociální aktivity). Zahrnuje jak distanci, </w:t>
      </w:r>
      <w:r>
        <w:rPr>
          <w:sz w:val="24"/>
          <w:szCs w:val="24"/>
        </w:rPr>
        <w:t xml:space="preserve">tak solidarizaci s druhými seniory. </w:t>
      </w:r>
    </w:p>
    <w:p w:rsidR="00DD4FB5" w:rsidRDefault="00502C37">
      <w:pPr>
        <w:spacing w:after="140"/>
        <w:rPr>
          <w:sz w:val="24"/>
          <w:szCs w:val="24"/>
        </w:rPr>
      </w:pPr>
      <w:r>
        <w:rPr>
          <w:sz w:val="24"/>
          <w:szCs w:val="24"/>
        </w:rPr>
        <w:t xml:space="preserve">• </w:t>
      </w:r>
      <w:r>
        <w:rPr>
          <w:b/>
          <w:sz w:val="24"/>
          <w:szCs w:val="24"/>
        </w:rPr>
        <w:t>Přístup „popírání stáří“ –</w:t>
      </w:r>
      <w:r>
        <w:rPr>
          <w:sz w:val="24"/>
          <w:szCs w:val="24"/>
        </w:rPr>
        <w:t xml:space="preserve"> přístup se vyznačuje distancí od stáří a starých, od vlastních zdravotních potíží. Téma nesoběstačnosti zůstává zamlčeno, naopak je hypertrofovaný akcent na kontinuitu výkonnosti, kompetence</w:t>
      </w:r>
      <w:r>
        <w:rPr>
          <w:sz w:val="24"/>
          <w:szCs w:val="24"/>
        </w:rPr>
        <w:t xml:space="preserve">, autonomie, uznání ze strany druhých, horečnatá aktivita v oblasti podstatné pro udržení kontinuity Self (ve sportu, profesi apod.). </w:t>
      </w:r>
    </w:p>
    <w:p w:rsidR="00DD4FB5" w:rsidRDefault="00502C37">
      <w:pPr>
        <w:spacing w:after="140"/>
        <w:rPr>
          <w:sz w:val="24"/>
          <w:szCs w:val="24"/>
        </w:rPr>
      </w:pPr>
      <w:r>
        <w:rPr>
          <w:b/>
          <w:sz w:val="24"/>
          <w:szCs w:val="24"/>
        </w:rPr>
        <w:t>• Přístup „vážně nemocné, imobilní stáří“</w:t>
      </w:r>
      <w:r>
        <w:rPr>
          <w:sz w:val="24"/>
          <w:szCs w:val="24"/>
        </w:rPr>
        <w:t>  – identifikace se slabými a nemocnými, orientace na zbytkové aktivity se silný</w:t>
      </w:r>
      <w:r>
        <w:rPr>
          <w:sz w:val="24"/>
          <w:szCs w:val="24"/>
        </w:rPr>
        <w:t>m akcentem na jejich význam a užitečnost pro druhé (autonomie výběru činnosti se významně zužuje). Obtíže stáří nejsou bagatelizovány ani zveličovány. Udržení Self- -konceptu se opírá o pozitivní důkazy z minulosti, rodina je zdrojem pomoci a podpory auton</w:t>
      </w:r>
      <w:r>
        <w:rPr>
          <w:sz w:val="24"/>
          <w:szCs w:val="24"/>
        </w:rPr>
        <w:t xml:space="preserve">omie seniora, neomezuje svobodu jeho rozhodování. </w:t>
      </w:r>
    </w:p>
    <w:p w:rsidR="00DD4FB5" w:rsidRDefault="00502C37">
      <w:pPr>
        <w:spacing w:after="140"/>
        <w:rPr>
          <w:sz w:val="24"/>
          <w:szCs w:val="24"/>
        </w:rPr>
      </w:pPr>
      <w:r>
        <w:rPr>
          <w:sz w:val="24"/>
          <w:szCs w:val="24"/>
        </w:rPr>
        <w:t xml:space="preserve">• </w:t>
      </w:r>
      <w:r>
        <w:rPr>
          <w:b/>
          <w:sz w:val="24"/>
          <w:szCs w:val="24"/>
        </w:rPr>
        <w:t>Přístup „zvládání čtvrtého věku</w:t>
      </w:r>
      <w:r>
        <w:rPr>
          <w:sz w:val="24"/>
          <w:szCs w:val="24"/>
        </w:rPr>
        <w:t>“ znamená přijetí statusu starého, nemocného a závislého, prezentovaného i navenek. Senioři se snaží vykonávat silně redukované pasivní činnosti, dokud nejsou vyčerpány psy</w:t>
      </w:r>
      <w:r>
        <w:rPr>
          <w:sz w:val="24"/>
          <w:szCs w:val="24"/>
        </w:rPr>
        <w:t>chické rezervy – dokud pro ně aktivity neztratí smysl a oni neunikají mimo realitu do svého vnitřního světa. Do popředí vystupují mechanismy zajišťující osobní bezpečí. Mezi hlavní témata patří umírání a smrt.</w:t>
      </w:r>
    </w:p>
    <w:p w:rsidR="00DD4FB5" w:rsidRDefault="00502C37">
      <w:pPr>
        <w:spacing w:after="0" w:line="240" w:lineRule="auto"/>
        <w:jc w:val="right"/>
        <w:rPr>
          <w:sz w:val="24"/>
          <w:szCs w:val="24"/>
        </w:rPr>
      </w:pPr>
      <w:r>
        <w:rPr>
          <w:sz w:val="24"/>
          <w:szCs w:val="24"/>
        </w:rPr>
        <w:t xml:space="preserve">(Jan Srnec: </w:t>
      </w:r>
      <w:r>
        <w:rPr>
          <w:i/>
          <w:sz w:val="24"/>
          <w:szCs w:val="24"/>
        </w:rPr>
        <w:t>Autonomie jako centrální pojem v p</w:t>
      </w:r>
      <w:r>
        <w:rPr>
          <w:i/>
          <w:sz w:val="24"/>
          <w:szCs w:val="24"/>
        </w:rPr>
        <w:t>sychosociálním studiu stárnutí</w:t>
      </w:r>
      <w:r>
        <w:rPr>
          <w:sz w:val="24"/>
          <w:szCs w:val="24"/>
        </w:rPr>
        <w:t>)</w:t>
      </w:r>
    </w:p>
    <w:p w:rsidR="00DD4FB5" w:rsidRDefault="00DD4FB5">
      <w:pPr>
        <w:spacing w:after="0" w:line="240" w:lineRule="auto"/>
        <w:rPr>
          <w:b/>
          <w:color w:val="5983B0"/>
          <w:sz w:val="24"/>
          <w:szCs w:val="24"/>
        </w:rPr>
      </w:pPr>
    </w:p>
    <w:p w:rsidR="00DD4FB5" w:rsidRDefault="00DD4FB5">
      <w:pPr>
        <w:spacing w:after="0" w:line="240" w:lineRule="auto"/>
        <w:rPr>
          <w:b/>
          <w:color w:val="5983B0"/>
          <w:sz w:val="24"/>
          <w:szCs w:val="24"/>
        </w:rPr>
      </w:pPr>
    </w:p>
    <w:p w:rsidR="00DD4FB5" w:rsidRDefault="00502C37">
      <w:pPr>
        <w:spacing w:after="0"/>
        <w:rPr>
          <w:b/>
          <w:sz w:val="24"/>
          <w:szCs w:val="24"/>
        </w:rPr>
      </w:pPr>
      <w:r>
        <w:br w:type="page"/>
      </w:r>
    </w:p>
    <w:p w:rsidR="00DD4FB5" w:rsidRDefault="00502C37">
      <w:pPr>
        <w:spacing w:after="0"/>
        <w:rPr>
          <w:b/>
          <w:sz w:val="24"/>
          <w:szCs w:val="24"/>
        </w:rPr>
      </w:pPr>
      <w:r>
        <w:rPr>
          <w:b/>
          <w:sz w:val="24"/>
          <w:szCs w:val="24"/>
        </w:rPr>
        <w:lastRenderedPageBreak/>
        <w:t>Smrt na ledové kře</w:t>
      </w:r>
    </w:p>
    <w:p w:rsidR="00DD4FB5" w:rsidRDefault="00DD4FB5">
      <w:pPr>
        <w:spacing w:after="0"/>
        <w:rPr>
          <w:b/>
          <w:sz w:val="24"/>
          <w:szCs w:val="24"/>
        </w:rPr>
      </w:pPr>
    </w:p>
    <w:p w:rsidR="00DD4FB5" w:rsidRDefault="00502C37">
      <w:pPr>
        <w:spacing w:after="0"/>
        <w:jc w:val="both"/>
        <w:rPr>
          <w:sz w:val="24"/>
          <w:szCs w:val="24"/>
        </w:rPr>
      </w:pPr>
      <w:r>
        <w:rPr>
          <w:sz w:val="24"/>
          <w:szCs w:val="24"/>
        </w:rPr>
        <w:t>O senicidě – usmrcování starších v různých kulturách je jen pár dochovaných záznamů. V rurálním Japonsku synové odváděli své rodiče po dosažení věku sedmdesát let na vrchol posvátné hory, kde je nechali napospas svému osudu. Baktriáni (kmen sídlící na územ</w:t>
      </w:r>
      <w:r>
        <w:rPr>
          <w:sz w:val="24"/>
          <w:szCs w:val="24"/>
        </w:rPr>
        <w:t>í dnešního severního Afghanistánů) předhazovali nemocné a staré speciálně vycvičeným psům. Troglodytští stařešinové v severní Africe, když už nebyli schopni postarat se o svá stáda, si kolem krku uvázali ocas vola a nechali se jím usmýkat. Na skalnatých Di</w:t>
      </w:r>
      <w:r>
        <w:rPr>
          <w:sz w:val="24"/>
          <w:szCs w:val="24"/>
        </w:rPr>
        <w:t>omédových ostrovech v Beringově průlivu mezi Sibiří a Aljaškou zmítanou bouří Inuiti rituálně vraždili své staré probodnutím, zastřelením či uškrcením. Ti, co si přáli zemřít, se svěřili svým příbuzný, kteří se jim to ve většině případech snažili rozmlouva</w:t>
      </w:r>
      <w:r>
        <w:rPr>
          <w:sz w:val="24"/>
          <w:szCs w:val="24"/>
        </w:rPr>
        <w:t xml:space="preserve">t. Pokud se však starší nenechal přesvědčit, jejich nejstarší syn musel zaujmout roli kata. </w:t>
      </w:r>
    </w:p>
    <w:p w:rsidR="00DD4FB5" w:rsidRDefault="00DD4FB5">
      <w:pPr>
        <w:spacing w:after="0"/>
        <w:jc w:val="both"/>
        <w:rPr>
          <w:sz w:val="24"/>
          <w:szCs w:val="24"/>
        </w:rPr>
      </w:pPr>
    </w:p>
    <w:p w:rsidR="00DD4FB5" w:rsidRDefault="00502C37">
      <w:pPr>
        <w:spacing w:after="0"/>
        <w:jc w:val="both"/>
        <w:rPr>
          <w:sz w:val="24"/>
          <w:szCs w:val="24"/>
        </w:rPr>
      </w:pPr>
      <w:r>
        <w:rPr>
          <w:sz w:val="24"/>
          <w:szCs w:val="24"/>
        </w:rPr>
        <w:t>Z kanadské Arktidy pochází příběh Charlese Francise Halla, novináře z Cincinnati, jež v roce 1860 opustil svou ženu a děti, aby prozkoumal zamrzlý sever. Byl svěd</w:t>
      </w:r>
      <w:r>
        <w:rPr>
          <w:sz w:val="24"/>
          <w:szCs w:val="24"/>
        </w:rPr>
        <w:t>kem toho, jak tamní komunita zabarikádovala iglú staré umírající ženy sněhovými cihlami. Asi o 60 let později, na počátku dvacátých let, ohlásil senicidu mezi Inuity průzkumník a antropolog Knud Rasmussen: „Zdejším zvykem je, že starší lidé, kteří už nemaj</w:t>
      </w:r>
      <w:r>
        <w:rPr>
          <w:sz w:val="24"/>
          <w:szCs w:val="24"/>
        </w:rPr>
        <w:t>í sil, se vydávají smrti vstříc, nežli by na její příchod čekali.“ Při dlouhém zimním stěhování mezi vzdálenými lovišti, byli stařešinové ponechání smrti na ledových krách. Posledním známým případem senicidy je záznam francouzského dobrodruha Gontrana de P</w:t>
      </w:r>
      <w:r>
        <w:rPr>
          <w:sz w:val="24"/>
          <w:szCs w:val="24"/>
        </w:rPr>
        <w:t>oncins, který ve třicátých letech popsal syna, jenž opustil svou matku ve vánici.</w:t>
      </w:r>
    </w:p>
    <w:p w:rsidR="00DD4FB5" w:rsidRDefault="00DD4FB5">
      <w:pPr>
        <w:spacing w:after="0"/>
        <w:jc w:val="both"/>
        <w:rPr>
          <w:sz w:val="24"/>
          <w:szCs w:val="24"/>
        </w:rPr>
      </w:pPr>
    </w:p>
    <w:p w:rsidR="00DD4FB5" w:rsidRDefault="00502C37">
      <w:pPr>
        <w:spacing w:after="0"/>
        <w:jc w:val="both"/>
        <w:rPr>
          <w:sz w:val="24"/>
          <w:szCs w:val="24"/>
        </w:rPr>
      </w:pPr>
      <w:r>
        <w:rPr>
          <w:sz w:val="24"/>
          <w:szCs w:val="24"/>
        </w:rPr>
        <w:t>Dnes jsou staří Inuité místo iglú vězněni v domech pro seniory. O historických případech senicidy se příliš nemluví, a když ano, jsou považovány za výmysl. „Během posledních tří století bílí průzkumníci a dobrodruzi, misionáři, obchodníci a zejména antropo</w:t>
      </w:r>
      <w:r>
        <w:rPr>
          <w:sz w:val="24"/>
          <w:szCs w:val="24"/>
        </w:rPr>
        <w:t xml:space="preserve">logové, sociologové a další učenci spřádali o Inuitech mnoho zvrácených příběhů,“ napsal kanadský antropolog John Steckley ve své knize o Inuitech </w:t>
      </w:r>
      <w:r>
        <w:rPr>
          <w:i/>
          <w:sz w:val="24"/>
          <w:szCs w:val="24"/>
        </w:rPr>
        <w:t xml:space="preserve">Bílé lži </w:t>
      </w:r>
      <w:r>
        <w:rPr>
          <w:sz w:val="24"/>
          <w:szCs w:val="24"/>
        </w:rPr>
        <w:t>z roku 2007. Ale když jsem Steckleymu vytočil telefon na Humber College v Torontu, překvapilo mě, že</w:t>
      </w:r>
      <w:r>
        <w:rPr>
          <w:sz w:val="24"/>
          <w:szCs w:val="24"/>
        </w:rPr>
        <w:t xml:space="preserve"> celou svou knihu napsal z univerzitní knihovny. Ten muž nikdy v Arktidě nebyl.</w:t>
      </w:r>
    </w:p>
    <w:p w:rsidR="00DD4FB5" w:rsidRDefault="00DD4FB5">
      <w:pPr>
        <w:spacing w:after="0"/>
        <w:rPr>
          <w:sz w:val="24"/>
          <w:szCs w:val="24"/>
        </w:rPr>
      </w:pPr>
    </w:p>
    <w:p w:rsidR="00DD4FB5" w:rsidRDefault="00502C37">
      <w:pPr>
        <w:spacing w:after="0"/>
        <w:jc w:val="right"/>
        <w:rPr>
          <w:b/>
        </w:rPr>
      </w:pPr>
      <w:r>
        <w:rPr>
          <w:sz w:val="24"/>
          <w:szCs w:val="24"/>
        </w:rPr>
        <w:t xml:space="preserve">(Justin Noble: </w:t>
      </w:r>
      <w:r>
        <w:rPr>
          <w:i/>
          <w:sz w:val="24"/>
          <w:szCs w:val="24"/>
        </w:rPr>
        <w:t>Growing Old with the Inuit)</w:t>
      </w:r>
    </w:p>
    <w:p w:rsidR="00DD4FB5" w:rsidRDefault="00DD4FB5">
      <w:pPr>
        <w:pBdr>
          <w:bottom w:val="single" w:sz="4" w:space="1" w:color="1F497D"/>
        </w:pBdr>
        <w:jc w:val="both"/>
        <w:rPr>
          <w:sz w:val="24"/>
          <w:szCs w:val="24"/>
        </w:rPr>
      </w:pPr>
    </w:p>
    <w:p w:rsidR="00DD4FB5" w:rsidRDefault="00502C37">
      <w:pPr>
        <w:pBdr>
          <w:bottom w:val="single" w:sz="4" w:space="1" w:color="1F497D"/>
        </w:pBdr>
        <w:jc w:val="both"/>
        <w:rPr>
          <w:color w:val="1F497D"/>
          <w:sz w:val="24"/>
          <w:szCs w:val="24"/>
        </w:rPr>
      </w:pPr>
      <w:r>
        <w:rPr>
          <w:color w:val="1F497D"/>
          <w:sz w:val="24"/>
          <w:szCs w:val="24"/>
        </w:rPr>
        <w:t>OKRUHY</w:t>
      </w:r>
    </w:p>
    <w:p w:rsidR="00DD4FB5" w:rsidRDefault="00502C37">
      <w:pPr>
        <w:numPr>
          <w:ilvl w:val="0"/>
          <w:numId w:val="3"/>
        </w:numPr>
        <w:pBdr>
          <w:top w:val="nil"/>
          <w:left w:val="nil"/>
          <w:bottom w:val="nil"/>
          <w:right w:val="nil"/>
          <w:between w:val="nil"/>
        </w:pBdr>
        <w:spacing w:after="0"/>
        <w:jc w:val="both"/>
        <w:rPr>
          <w:color w:val="000000"/>
        </w:rPr>
      </w:pPr>
      <w:r>
        <w:t>Současné divadlo</w:t>
      </w:r>
    </w:p>
    <w:p w:rsidR="00DD4FB5" w:rsidRDefault="00502C37">
      <w:pPr>
        <w:numPr>
          <w:ilvl w:val="0"/>
          <w:numId w:val="3"/>
        </w:numPr>
        <w:pBdr>
          <w:top w:val="nil"/>
          <w:left w:val="nil"/>
          <w:bottom w:val="nil"/>
          <w:right w:val="nil"/>
          <w:between w:val="nil"/>
        </w:pBdr>
        <w:spacing w:after="0"/>
        <w:jc w:val="both"/>
        <w:rPr>
          <w:color w:val="000000"/>
        </w:rPr>
      </w:pPr>
      <w:r>
        <w:t>Interpretační versus autorské divadlo</w:t>
      </w:r>
    </w:p>
    <w:p w:rsidR="00DD4FB5" w:rsidRDefault="00502C37">
      <w:pPr>
        <w:numPr>
          <w:ilvl w:val="0"/>
          <w:numId w:val="3"/>
        </w:numPr>
        <w:pBdr>
          <w:top w:val="nil"/>
          <w:left w:val="nil"/>
          <w:bottom w:val="nil"/>
          <w:right w:val="nil"/>
          <w:between w:val="nil"/>
        </w:pBdr>
        <w:spacing w:after="0"/>
        <w:jc w:val="both"/>
        <w:rPr>
          <w:color w:val="000000"/>
        </w:rPr>
      </w:pPr>
      <w:r>
        <w:t>Devising theatre</w:t>
      </w:r>
    </w:p>
    <w:p w:rsidR="00DD4FB5" w:rsidRDefault="00502C37">
      <w:pPr>
        <w:numPr>
          <w:ilvl w:val="0"/>
          <w:numId w:val="3"/>
        </w:numPr>
        <w:pBdr>
          <w:top w:val="nil"/>
          <w:left w:val="nil"/>
          <w:bottom w:val="nil"/>
          <w:right w:val="nil"/>
          <w:between w:val="nil"/>
        </w:pBdr>
        <w:spacing w:after="0"/>
        <w:jc w:val="both"/>
        <w:rPr>
          <w:color w:val="000000"/>
        </w:rPr>
      </w:pPr>
      <w:r>
        <w:t>Mezigenerační vztahy</w:t>
      </w:r>
    </w:p>
    <w:p w:rsidR="00DD4FB5" w:rsidRDefault="00502C37">
      <w:pPr>
        <w:numPr>
          <w:ilvl w:val="0"/>
          <w:numId w:val="3"/>
        </w:numPr>
        <w:pBdr>
          <w:top w:val="nil"/>
          <w:left w:val="nil"/>
          <w:bottom w:val="nil"/>
          <w:right w:val="nil"/>
          <w:between w:val="nil"/>
        </w:pBdr>
        <w:spacing w:after="0"/>
        <w:jc w:val="both"/>
      </w:pPr>
      <w:r>
        <w:t>Handicap stáří</w:t>
      </w:r>
    </w:p>
    <w:p w:rsidR="00DD4FB5" w:rsidRDefault="00DD4FB5">
      <w:pPr>
        <w:pBdr>
          <w:top w:val="nil"/>
          <w:left w:val="nil"/>
          <w:bottom w:val="nil"/>
          <w:right w:val="nil"/>
          <w:between w:val="nil"/>
        </w:pBdr>
        <w:spacing w:after="0"/>
        <w:jc w:val="both"/>
        <w:rPr>
          <w:color w:val="000000"/>
        </w:rPr>
      </w:pPr>
    </w:p>
    <w:p w:rsidR="00DD4FB5" w:rsidRDefault="00DD4FB5">
      <w:pPr>
        <w:pBdr>
          <w:top w:val="nil"/>
          <w:left w:val="nil"/>
          <w:bottom w:val="nil"/>
          <w:right w:val="nil"/>
          <w:between w:val="nil"/>
        </w:pBdr>
        <w:ind w:left="720"/>
        <w:jc w:val="both"/>
        <w:rPr>
          <w:b/>
          <w:color w:val="000000"/>
        </w:rPr>
      </w:pPr>
    </w:p>
    <w:p w:rsidR="00DD4FB5" w:rsidRDefault="00502C37">
      <w:pPr>
        <w:jc w:val="both"/>
        <w:rPr>
          <w:b/>
          <w:color w:val="000000"/>
        </w:rPr>
      </w:pPr>
      <w:r>
        <w:rPr>
          <w:b/>
          <w:color w:val="000000"/>
        </w:rPr>
        <w:t>OTÁZKY A OKRUHY K DISKUZI</w:t>
      </w:r>
    </w:p>
    <w:p w:rsidR="00DD4FB5" w:rsidRDefault="00502C37">
      <w:pPr>
        <w:numPr>
          <w:ilvl w:val="0"/>
          <w:numId w:val="4"/>
        </w:numPr>
        <w:pBdr>
          <w:top w:val="nil"/>
          <w:left w:val="nil"/>
          <w:bottom w:val="nil"/>
          <w:right w:val="nil"/>
          <w:between w:val="nil"/>
        </w:pBdr>
        <w:spacing w:after="0"/>
        <w:jc w:val="both"/>
        <w:rPr>
          <w:color w:val="000000"/>
        </w:rPr>
      </w:pPr>
      <w:r>
        <w:rPr>
          <w:highlight w:val="white"/>
        </w:rPr>
        <w:t>Co vás na inscenaci zaujalo a čemu jste nerozuměli?</w:t>
      </w:r>
    </w:p>
    <w:p w:rsidR="00DD4FB5" w:rsidRDefault="00502C37">
      <w:pPr>
        <w:numPr>
          <w:ilvl w:val="0"/>
          <w:numId w:val="4"/>
        </w:numPr>
        <w:pBdr>
          <w:top w:val="nil"/>
          <w:left w:val="nil"/>
          <w:bottom w:val="nil"/>
          <w:right w:val="nil"/>
          <w:between w:val="nil"/>
        </w:pBdr>
        <w:spacing w:after="0"/>
        <w:jc w:val="both"/>
        <w:rPr>
          <w:color w:val="000000"/>
        </w:rPr>
      </w:pPr>
      <w:r>
        <w:t>Jaký je rozdíl mezi interpretačním divadlem a takzvaně autorským</w:t>
      </w:r>
      <w:r>
        <w:rPr>
          <w:color w:val="000000"/>
        </w:rPr>
        <w:t>?</w:t>
      </w:r>
    </w:p>
    <w:p w:rsidR="00DD4FB5" w:rsidRDefault="00502C37">
      <w:pPr>
        <w:numPr>
          <w:ilvl w:val="0"/>
          <w:numId w:val="4"/>
        </w:numPr>
        <w:pBdr>
          <w:top w:val="nil"/>
          <w:left w:val="nil"/>
          <w:bottom w:val="nil"/>
          <w:right w:val="nil"/>
          <w:between w:val="nil"/>
        </w:pBdr>
        <w:spacing w:after="0"/>
        <w:jc w:val="both"/>
      </w:pPr>
      <w:r>
        <w:t xml:space="preserve">S jakými prostředky inscenace pracuje? </w:t>
      </w:r>
    </w:p>
    <w:p w:rsidR="00DD4FB5" w:rsidRDefault="00502C37">
      <w:pPr>
        <w:numPr>
          <w:ilvl w:val="0"/>
          <w:numId w:val="4"/>
        </w:numPr>
        <w:pBdr>
          <w:top w:val="nil"/>
          <w:left w:val="nil"/>
          <w:bottom w:val="nil"/>
          <w:right w:val="nil"/>
          <w:between w:val="nil"/>
        </w:pBdr>
        <w:spacing w:after="0"/>
        <w:jc w:val="both"/>
      </w:pPr>
      <w:r>
        <w:t>Jaké je podle vás téma inscenace?</w:t>
      </w:r>
    </w:p>
    <w:p w:rsidR="00DD4FB5" w:rsidRDefault="00502C37">
      <w:pPr>
        <w:numPr>
          <w:ilvl w:val="0"/>
          <w:numId w:val="4"/>
        </w:numPr>
        <w:pBdr>
          <w:top w:val="nil"/>
          <w:left w:val="nil"/>
          <w:bottom w:val="nil"/>
          <w:right w:val="nil"/>
          <w:between w:val="nil"/>
        </w:pBdr>
        <w:spacing w:after="0"/>
        <w:jc w:val="both"/>
      </w:pPr>
      <w:r>
        <w:t>Co podle vás představuje postava Inuit</w:t>
      </w:r>
      <w:r>
        <w:t>a?</w:t>
      </w:r>
    </w:p>
    <w:p w:rsidR="00DD4FB5" w:rsidRDefault="00502C37">
      <w:pPr>
        <w:numPr>
          <w:ilvl w:val="0"/>
          <w:numId w:val="4"/>
        </w:numPr>
        <w:pBdr>
          <w:top w:val="nil"/>
          <w:left w:val="nil"/>
          <w:bottom w:val="nil"/>
          <w:right w:val="nil"/>
          <w:between w:val="nil"/>
        </w:pBdr>
        <w:spacing w:after="0"/>
        <w:jc w:val="both"/>
      </w:pPr>
      <w:r>
        <w:t>Jaké herecké prostředky herci využívají, aby ztvárnili starší pár?</w:t>
      </w:r>
    </w:p>
    <w:p w:rsidR="00DD4FB5" w:rsidRDefault="00502C37">
      <w:pPr>
        <w:numPr>
          <w:ilvl w:val="0"/>
          <w:numId w:val="4"/>
        </w:numPr>
        <w:pBdr>
          <w:top w:val="nil"/>
          <w:left w:val="nil"/>
          <w:bottom w:val="nil"/>
          <w:right w:val="nil"/>
          <w:between w:val="nil"/>
        </w:pBdr>
        <w:spacing w:after="0"/>
        <w:jc w:val="both"/>
      </w:pPr>
      <w:r>
        <w:t>Jak se podle Vás definuje stáří?</w:t>
      </w:r>
    </w:p>
    <w:p w:rsidR="00DD4FB5" w:rsidRDefault="00502C37">
      <w:pPr>
        <w:numPr>
          <w:ilvl w:val="0"/>
          <w:numId w:val="4"/>
        </w:numPr>
        <w:pBdr>
          <w:top w:val="nil"/>
          <w:left w:val="nil"/>
          <w:bottom w:val="nil"/>
          <w:right w:val="nil"/>
          <w:between w:val="nil"/>
        </w:pBdr>
        <w:spacing w:after="0"/>
        <w:jc w:val="both"/>
      </w:pPr>
      <w:r>
        <w:t>Jak by měla společnost pečovat o starší spoluobčany?</w:t>
      </w:r>
    </w:p>
    <w:p w:rsidR="00DD4FB5" w:rsidRDefault="00502C37">
      <w:pPr>
        <w:numPr>
          <w:ilvl w:val="0"/>
          <w:numId w:val="4"/>
        </w:numPr>
        <w:pBdr>
          <w:top w:val="nil"/>
          <w:left w:val="nil"/>
          <w:bottom w:val="nil"/>
          <w:right w:val="nil"/>
          <w:between w:val="nil"/>
        </w:pBdr>
        <w:spacing w:after="0"/>
        <w:jc w:val="both"/>
        <w:rPr>
          <w:color w:val="000000"/>
          <w:highlight w:val="white"/>
        </w:rPr>
      </w:pPr>
      <w:r>
        <w:rPr>
          <w:highlight w:val="white"/>
        </w:rPr>
        <w:t xml:space="preserve">Myslíte, že je důležité inscenovat hry o starších lidech? Proč? </w:t>
      </w:r>
    </w:p>
    <w:p w:rsidR="00DD4FB5" w:rsidRDefault="00502C37">
      <w:pPr>
        <w:numPr>
          <w:ilvl w:val="0"/>
          <w:numId w:val="4"/>
        </w:numPr>
        <w:pBdr>
          <w:top w:val="nil"/>
          <w:left w:val="nil"/>
          <w:bottom w:val="nil"/>
          <w:right w:val="nil"/>
          <w:between w:val="nil"/>
        </w:pBdr>
        <w:spacing w:after="0"/>
        <w:jc w:val="both"/>
        <w:rPr>
          <w:highlight w:val="white"/>
        </w:rPr>
      </w:pPr>
      <w:r>
        <w:rPr>
          <w:highlight w:val="white"/>
        </w:rPr>
        <w:t>Kolik uměleckých děl s hrdiny v seniorském věku znáte?</w:t>
      </w:r>
    </w:p>
    <w:p w:rsidR="00DD4FB5" w:rsidRDefault="00DD4FB5">
      <w:pPr>
        <w:pBdr>
          <w:top w:val="nil"/>
          <w:left w:val="nil"/>
          <w:bottom w:val="nil"/>
          <w:right w:val="nil"/>
          <w:between w:val="nil"/>
        </w:pBdr>
        <w:spacing w:after="0"/>
        <w:ind w:left="720"/>
        <w:jc w:val="both"/>
        <w:rPr>
          <w:highlight w:val="white"/>
        </w:rPr>
      </w:pPr>
    </w:p>
    <w:p w:rsidR="00DD4FB5" w:rsidRDefault="00502C37">
      <w:pPr>
        <w:jc w:val="both"/>
        <w:rPr>
          <w:b/>
          <w:color w:val="000000"/>
        </w:rPr>
      </w:pPr>
      <w:r>
        <w:rPr>
          <w:b/>
          <w:color w:val="000000"/>
        </w:rPr>
        <w:t>Literatura</w:t>
      </w:r>
    </w:p>
    <w:p w:rsidR="00DD4FB5" w:rsidRDefault="00502C37">
      <w:pPr>
        <w:numPr>
          <w:ilvl w:val="0"/>
          <w:numId w:val="1"/>
        </w:numPr>
        <w:pBdr>
          <w:top w:val="nil"/>
          <w:left w:val="nil"/>
          <w:bottom w:val="nil"/>
          <w:right w:val="nil"/>
          <w:between w:val="nil"/>
        </w:pBdr>
        <w:spacing w:after="0"/>
        <w:jc w:val="both"/>
        <w:rPr>
          <w:color w:val="000000"/>
        </w:rPr>
      </w:pPr>
      <w:r>
        <w:t xml:space="preserve">Petr Sak, Karolína Kolesárová: </w:t>
      </w:r>
      <w:r>
        <w:rPr>
          <w:i/>
        </w:rPr>
        <w:t>Sociologie stáří a seniorů</w:t>
      </w:r>
    </w:p>
    <w:p w:rsidR="00DD4FB5" w:rsidRDefault="00502C37">
      <w:pPr>
        <w:numPr>
          <w:ilvl w:val="0"/>
          <w:numId w:val="1"/>
        </w:numPr>
        <w:pBdr>
          <w:top w:val="nil"/>
          <w:left w:val="nil"/>
          <w:bottom w:val="nil"/>
          <w:right w:val="nil"/>
          <w:between w:val="nil"/>
        </w:pBdr>
        <w:spacing w:after="0"/>
        <w:jc w:val="both"/>
      </w:pPr>
      <w:r>
        <w:t xml:space="preserve">Fredrik Backman: </w:t>
      </w:r>
      <w:r>
        <w:rPr>
          <w:i/>
        </w:rPr>
        <w:t>Muž jménem Ove</w:t>
      </w:r>
    </w:p>
    <w:p w:rsidR="00DD4FB5" w:rsidRDefault="00DD4FB5">
      <w:pPr>
        <w:pBdr>
          <w:top w:val="nil"/>
          <w:left w:val="nil"/>
          <w:bottom w:val="nil"/>
          <w:right w:val="nil"/>
          <w:between w:val="nil"/>
        </w:pBdr>
        <w:jc w:val="both"/>
        <w:rPr>
          <w:i/>
        </w:rPr>
      </w:pPr>
    </w:p>
    <w:p w:rsidR="00DD4FB5" w:rsidRDefault="00502C37">
      <w:pPr>
        <w:pBdr>
          <w:top w:val="nil"/>
          <w:left w:val="nil"/>
          <w:bottom w:val="nil"/>
          <w:right w:val="nil"/>
          <w:between w:val="nil"/>
        </w:pBdr>
        <w:jc w:val="both"/>
        <w:rPr>
          <w:b/>
        </w:rPr>
      </w:pPr>
      <w:r>
        <w:rPr>
          <w:b/>
        </w:rPr>
        <w:t>Filmy</w:t>
      </w:r>
    </w:p>
    <w:p w:rsidR="00DD4FB5" w:rsidRDefault="00502C37">
      <w:pPr>
        <w:numPr>
          <w:ilvl w:val="0"/>
          <w:numId w:val="2"/>
        </w:numPr>
        <w:pBdr>
          <w:top w:val="nil"/>
          <w:left w:val="nil"/>
          <w:bottom w:val="nil"/>
          <w:right w:val="nil"/>
          <w:between w:val="nil"/>
        </w:pBdr>
        <w:spacing w:after="0"/>
        <w:jc w:val="both"/>
      </w:pPr>
      <w:r>
        <w:t>Amour (r. Michael Haneke, 2012)</w:t>
      </w:r>
    </w:p>
    <w:p w:rsidR="00DD4FB5" w:rsidRDefault="00502C37">
      <w:pPr>
        <w:numPr>
          <w:ilvl w:val="0"/>
          <w:numId w:val="2"/>
        </w:numPr>
        <w:pBdr>
          <w:top w:val="nil"/>
          <w:left w:val="nil"/>
          <w:bottom w:val="nil"/>
          <w:right w:val="nil"/>
          <w:between w:val="nil"/>
        </w:pBdr>
        <w:spacing w:after="0"/>
        <w:jc w:val="both"/>
      </w:pPr>
      <w:r>
        <w:t>Trio z Belleville (r. Sylvain Chomet, 2003)</w:t>
      </w:r>
    </w:p>
    <w:p w:rsidR="00DD4FB5" w:rsidRDefault="00502C37">
      <w:pPr>
        <w:numPr>
          <w:ilvl w:val="0"/>
          <w:numId w:val="2"/>
        </w:numPr>
        <w:pBdr>
          <w:top w:val="nil"/>
          <w:left w:val="nil"/>
          <w:bottom w:val="nil"/>
          <w:right w:val="nil"/>
          <w:between w:val="nil"/>
        </w:pBdr>
        <w:spacing w:after="0"/>
        <w:jc w:val="both"/>
      </w:pPr>
      <w:r>
        <w:t>Manželské etudy (r. Helena Třeštíková)</w:t>
      </w:r>
    </w:p>
    <w:p w:rsidR="00DD4FB5" w:rsidRDefault="00502C37">
      <w:pPr>
        <w:numPr>
          <w:ilvl w:val="0"/>
          <w:numId w:val="2"/>
        </w:numPr>
        <w:pBdr>
          <w:top w:val="nil"/>
          <w:left w:val="nil"/>
          <w:bottom w:val="nil"/>
          <w:right w:val="nil"/>
          <w:between w:val="nil"/>
        </w:pBdr>
        <w:jc w:val="both"/>
      </w:pPr>
      <w:r>
        <w:t>Vortex (r. Gaspar Noé, 2021)</w:t>
      </w:r>
    </w:p>
    <w:sectPr w:rsidR="00DD4FB5">
      <w:headerReference w:type="default" r:id="rId9"/>
      <w:footerReference w:type="default" r:id="rId10"/>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2C37">
      <w:pPr>
        <w:spacing w:after="0" w:line="240" w:lineRule="auto"/>
      </w:pPr>
      <w:r>
        <w:separator/>
      </w:r>
    </w:p>
  </w:endnote>
  <w:endnote w:type="continuationSeparator" w:id="0">
    <w:p w:rsidR="00000000" w:rsidRDefault="00502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FB5" w:rsidRDefault="00502C37">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DD4FB5" w:rsidRDefault="00DD4FB5">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2C37">
      <w:pPr>
        <w:spacing w:after="0" w:line="240" w:lineRule="auto"/>
      </w:pPr>
      <w:r>
        <w:separator/>
      </w:r>
    </w:p>
  </w:footnote>
  <w:footnote w:type="continuationSeparator" w:id="0">
    <w:p w:rsidR="00000000" w:rsidRDefault="00502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FB5" w:rsidRDefault="00DD4FB5">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60808"/>
    <w:multiLevelType w:val="multilevel"/>
    <w:tmpl w:val="BCCA27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6BB1B8A"/>
    <w:multiLevelType w:val="multilevel"/>
    <w:tmpl w:val="7B587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44D72F63"/>
    <w:multiLevelType w:val="multilevel"/>
    <w:tmpl w:val="5F828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68611BB6"/>
    <w:multiLevelType w:val="multilevel"/>
    <w:tmpl w:val="8188B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D4FB5"/>
    <w:rsid w:val="00502C37"/>
    <w:rsid w:val="00DD4F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style>
  <w:style w:type="paragraph" w:styleId="Nadpis1">
    <w:name w:val="heading 1"/>
    <w:basedOn w:val="Normln"/>
    <w:next w:val="Normln"/>
    <w:pPr>
      <w:keepNext/>
      <w:keepLines/>
      <w:spacing w:before="240" w:after="0"/>
      <w:outlineLvl w:val="0"/>
    </w:pPr>
    <w:rPr>
      <w:rFonts w:ascii="Cambria" w:eastAsia="Cambria" w:hAnsi="Cambria" w:cs="Cambria"/>
      <w:color w:val="366091"/>
      <w:sz w:val="32"/>
      <w:szCs w:val="32"/>
    </w:rPr>
  </w:style>
  <w:style w:type="paragraph" w:styleId="Nadpis2">
    <w:name w:val="heading 2"/>
    <w:basedOn w:val="Normln"/>
    <w:next w:val="Normln"/>
    <w:pPr>
      <w:keepNext/>
      <w:keepLines/>
      <w:spacing w:before="360" w:after="80"/>
      <w:outlineLvl w:val="1"/>
    </w:pPr>
    <w:rPr>
      <w:b/>
      <w:sz w:val="36"/>
      <w:szCs w:val="36"/>
    </w:rPr>
  </w:style>
  <w:style w:type="paragraph" w:styleId="Nadpis3">
    <w:name w:val="heading 3"/>
    <w:basedOn w:val="Normln"/>
    <w:next w:val="Normln"/>
    <w:pPr>
      <w:keepNext/>
      <w:keepLines/>
      <w:spacing w:before="280" w:after="80"/>
      <w:outlineLvl w:val="2"/>
    </w:pPr>
    <w:rPr>
      <w:b/>
      <w:sz w:val="28"/>
      <w:szCs w:val="28"/>
    </w:rPr>
  </w:style>
  <w:style w:type="paragraph" w:styleId="Nadpis4">
    <w:name w:val="heading 4"/>
    <w:basedOn w:val="Normln"/>
    <w:next w:val="Normln"/>
    <w:pPr>
      <w:keepNext/>
      <w:keepLines/>
      <w:spacing w:before="240" w:after="40"/>
      <w:outlineLvl w:val="3"/>
    </w:pPr>
    <w:rPr>
      <w:b/>
      <w:sz w:val="24"/>
      <w:szCs w:val="24"/>
    </w:rPr>
  </w:style>
  <w:style w:type="paragraph" w:styleId="Nadpis5">
    <w:name w:val="heading 5"/>
    <w:basedOn w:val="Normln"/>
    <w:next w:val="Normln"/>
    <w:pPr>
      <w:keepNext/>
      <w:keepLines/>
      <w:spacing w:before="220" w:after="40"/>
      <w:outlineLvl w:val="4"/>
    </w:pPr>
    <w:rPr>
      <w:b/>
    </w:rPr>
  </w:style>
  <w:style w:type="paragraph" w:styleId="Nadpis6">
    <w:name w:val="heading 6"/>
    <w:basedOn w:val="Normln"/>
    <w:next w:val="Normln"/>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pPr>
      <w:pBdr>
        <w:bottom w:val="single" w:sz="8" w:space="4" w:color="4F81BD"/>
      </w:pBdr>
      <w:spacing w:after="300" w:line="240" w:lineRule="auto"/>
    </w:pPr>
    <w:rPr>
      <w:rFonts w:ascii="Cambria" w:eastAsia="Cambria" w:hAnsi="Cambria" w:cs="Cambria"/>
      <w:color w:val="17365D"/>
      <w:sz w:val="52"/>
      <w:szCs w:val="52"/>
    </w:rPr>
  </w:style>
  <w:style w:type="paragraph" w:styleId="Podtitul">
    <w:name w:val="Subtitle"/>
    <w:basedOn w:val="Normln"/>
    <w:next w:val="Normln"/>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style>
  <w:style w:type="paragraph" w:styleId="Nadpis1">
    <w:name w:val="heading 1"/>
    <w:basedOn w:val="Normln"/>
    <w:next w:val="Normln"/>
    <w:pPr>
      <w:keepNext/>
      <w:keepLines/>
      <w:spacing w:before="240" w:after="0"/>
      <w:outlineLvl w:val="0"/>
    </w:pPr>
    <w:rPr>
      <w:rFonts w:ascii="Cambria" w:eastAsia="Cambria" w:hAnsi="Cambria" w:cs="Cambria"/>
      <w:color w:val="366091"/>
      <w:sz w:val="32"/>
      <w:szCs w:val="32"/>
    </w:rPr>
  </w:style>
  <w:style w:type="paragraph" w:styleId="Nadpis2">
    <w:name w:val="heading 2"/>
    <w:basedOn w:val="Normln"/>
    <w:next w:val="Normln"/>
    <w:pPr>
      <w:keepNext/>
      <w:keepLines/>
      <w:spacing w:before="360" w:after="80"/>
      <w:outlineLvl w:val="1"/>
    </w:pPr>
    <w:rPr>
      <w:b/>
      <w:sz w:val="36"/>
      <w:szCs w:val="36"/>
    </w:rPr>
  </w:style>
  <w:style w:type="paragraph" w:styleId="Nadpis3">
    <w:name w:val="heading 3"/>
    <w:basedOn w:val="Normln"/>
    <w:next w:val="Normln"/>
    <w:pPr>
      <w:keepNext/>
      <w:keepLines/>
      <w:spacing w:before="280" w:after="80"/>
      <w:outlineLvl w:val="2"/>
    </w:pPr>
    <w:rPr>
      <w:b/>
      <w:sz w:val="28"/>
      <w:szCs w:val="28"/>
    </w:rPr>
  </w:style>
  <w:style w:type="paragraph" w:styleId="Nadpis4">
    <w:name w:val="heading 4"/>
    <w:basedOn w:val="Normln"/>
    <w:next w:val="Normln"/>
    <w:pPr>
      <w:keepNext/>
      <w:keepLines/>
      <w:spacing w:before="240" w:after="40"/>
      <w:outlineLvl w:val="3"/>
    </w:pPr>
    <w:rPr>
      <w:b/>
      <w:sz w:val="24"/>
      <w:szCs w:val="24"/>
    </w:rPr>
  </w:style>
  <w:style w:type="paragraph" w:styleId="Nadpis5">
    <w:name w:val="heading 5"/>
    <w:basedOn w:val="Normln"/>
    <w:next w:val="Normln"/>
    <w:pPr>
      <w:keepNext/>
      <w:keepLines/>
      <w:spacing w:before="220" w:after="40"/>
      <w:outlineLvl w:val="4"/>
    </w:pPr>
    <w:rPr>
      <w:b/>
    </w:rPr>
  </w:style>
  <w:style w:type="paragraph" w:styleId="Nadpis6">
    <w:name w:val="heading 6"/>
    <w:basedOn w:val="Normln"/>
    <w:next w:val="Normln"/>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pPr>
      <w:pBdr>
        <w:bottom w:val="single" w:sz="8" w:space="4" w:color="4F81BD"/>
      </w:pBdr>
      <w:spacing w:after="300" w:line="240" w:lineRule="auto"/>
    </w:pPr>
    <w:rPr>
      <w:rFonts w:ascii="Cambria" w:eastAsia="Cambria" w:hAnsi="Cambria" w:cs="Cambria"/>
      <w:color w:val="17365D"/>
      <w:sz w:val="52"/>
      <w:szCs w:val="52"/>
    </w:rPr>
  </w:style>
  <w:style w:type="paragraph" w:styleId="Podtitul">
    <w:name w:val="Subtitle"/>
    <w:basedOn w:val="Normln"/>
    <w:next w:val="Normln"/>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2367</Words>
  <Characters>13972</Characters>
  <Application>Microsoft Office Word</Application>
  <DocSecurity>4</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16307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Mahulena Košťálová</dc:creator>
  <cp:lastModifiedBy>Mahulena Košťálová</cp:lastModifiedBy>
  <cp:revision>2</cp:revision>
  <dcterms:created xsi:type="dcterms:W3CDTF">2023-03-28T13:14:00Z</dcterms:created>
  <dcterms:modified xsi:type="dcterms:W3CDTF">2023-03-28T13:14:00Z</dcterms:modified>
</cp:coreProperties>
</file>